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CR01 / AC Mapping Deep-Dive — Detailed Summary</w:t>
      </w:r>
    </w:p>
    <w:p>
      <w:pPr>
        <w:pStyle w:val="Heading2"/>
      </w:pPr>
      <w:r>
        <w:t>1. Scope &amp; Objective</w:t>
      </w:r>
    </w:p>
    <w:p>
      <w:r>
        <w:t>CR01 enrichment logic and data sourcing for HedgeBook vs Credit Trading,</w:t>
      </w:r>
    </w:p>
    <w:p>
      <w:r>
        <w:t>with a special focus on (i) AC mapping behavior (issuer/guarantor, ratings, curve assignment) and</w:t>
      </w:r>
    </w:p>
    <w:p>
      <w:r>
        <w:t>(ii) credit indices constituent breakdown.</w:t>
      </w:r>
    </w:p>
    <w:p>
      <w:r>
        <w:t>Systems/Artifacts mentioned: SABRE/MRB batch, AC mapping (“recipe”), CR delta report, VAS2, sanity attributes,</w:t>
      </w:r>
    </w:p>
    <w:p>
      <w:r>
        <w:t>MDS, ICI (customer account), RF issuer, index curve.</w:t>
      </w:r>
    </w:p>
    <w:p>
      <w:r>
        <w:t>People referenced: Dan, John, Ruth, Sylvia, Terence, Kumar/KUMA (not on the call), Xiong.</w:t>
      </w:r>
    </w:p>
    <w:p>
      <w:pPr>
        <w:pStyle w:val="Heading2"/>
      </w:pPr>
      <w:r>
        <w:t>2. Key Discussion Points</w:t>
      </w:r>
    </w:p>
    <w:p>
      <w:r>
        <w:t>- Whether AC mapping enrichment logic matches credit trading (issuer/guarantor treatment).</w:t>
      </w:r>
    </w:p>
    <w:p>
      <w:r>
        <w:t>- Known issue for credit indices if AC mapping is applied (multi-underlying not handled).</w:t>
      </w:r>
    </w:p>
    <w:p>
      <w:r>
        <w:t>- Need to confirm alignment for SRVAR vs CR01; HedgeBook vs Credit Trading.</w:t>
      </w:r>
    </w:p>
    <w:p>
      <w:r>
        <w:t>- KUMA has a conference page on enrichment (single vs multiple underlyings).</w:t>
      </w:r>
    </w:p>
    <w:p>
      <w:pPr>
        <w:pStyle w:val="Heading2"/>
      </w:pPr>
      <w:r>
        <w:t>3. Current Data / Enrichment Flows</w:t>
      </w:r>
    </w:p>
    <w:p>
      <w:r>
        <w:t>- HedgeBook CR01 currently takes CR delta report joined with VAS2 for enrichment (names &amp; ratings).</w:t>
      </w:r>
    </w:p>
    <w:p>
      <w:r>
        <w:t>- Sanity attributes (MTM) have limited info.</w:t>
      </w:r>
    </w:p>
    <w:p>
      <w:r>
        <w:t>- MDS quality concern: SD entity → multiple LEIDs mapping can mislead enrichment.</w:t>
      </w:r>
    </w:p>
    <w:p>
      <w:r>
        <w:t>- Customer account may read ICI directly, bypassing SD entity linkages.</w:t>
      </w:r>
    </w:p>
    <w:p>
      <w:pPr>
        <w:pStyle w:val="Heading2"/>
      </w:pPr>
      <w:r>
        <w:t>4. Indices Problem</w:t>
      </w:r>
    </w:p>
    <w:p>
      <w:r>
        <w:t>- Need CR01 reported by constituents (e.g., 40 names).</w:t>
      </w:r>
    </w:p>
    <w:p>
      <w:r>
        <w:t>- Example: HedgeBook total CR01 ~400k must be split to constituents (~10k each illustrative).</w:t>
      </w:r>
    </w:p>
    <w:p>
      <w:r>
        <w:t>- Current gap: No platform support to lookup all constituent names &amp; ratings → special enrichment needed.</w:t>
      </w:r>
    </w:p>
    <w:p>
      <w:r>
        <w:t>- Agreement: VAR uses index curve; CR01 uses constituent breakdown aligned with credit trading.</w:t>
      </w:r>
    </w:p>
    <w:p>
      <w:pPr>
        <w:pStyle w:val="Heading2"/>
      </w:pPr>
      <w:r>
        <w:t>5. Single-Name CDS / Guarantor Issue</w:t>
      </w:r>
    </w:p>
    <w:p>
      <w:r>
        <w:t>- Credit trading logic: Guarantor-first (RF issuer risk entity); else primary issuer.</w:t>
      </w:r>
    </w:p>
    <w:p>
      <w:r>
        <w:t>- Expectation: AC mapping should replicate this logic.</w:t>
      </w:r>
    </w:p>
    <w:p>
      <w:r>
        <w:t>- Observation: MRB CR delta enrichment uses guarantor; AC mapping may fall back to primary issuer.</w:t>
      </w:r>
    </w:p>
    <w:p>
      <w:r>
        <w:t>- Example (12 Aug, Genting Malaysia CDS):</w:t>
      </w:r>
    </w:p>
    <w:p>
      <w:r>
        <w:t>* Guarantor: BBB– rating.</w:t>
      </w:r>
    </w:p>
    <w:p>
      <w:r>
        <w:t>* AC mapping: chose B curve (primary issuer, NR defaulted to B).</w:t>
      </w:r>
    </w:p>
    <w:p>
      <w:r>
        <w:t>* Result: VAR on primary; reporting on guarantor → inconsistency.</w:t>
      </w:r>
    </w:p>
    <w:p>
      <w:pPr>
        <w:pStyle w:val="Heading2"/>
      </w:pPr>
      <w:r>
        <w:t>6. Indices as Hedges &amp; Basis</w:t>
      </w:r>
    </w:p>
    <w:p>
      <w:r>
        <w:t>- Credit trading: indices are macro hedges; basis risk accepted.</w:t>
      </w:r>
    </w:p>
    <w:p>
      <w:r>
        <w:t>- XVA desk: already hedge in nature; when using CDS indices as hedges, reporting requirement remains issuer-level constituents.</w:t>
      </w:r>
    </w:p>
    <w:p>
      <w:pPr>
        <w:pStyle w:val="Heading2"/>
      </w:pPr>
      <w:r>
        <w:t>7. Explicit Questions</w:t>
      </w:r>
    </w:p>
    <w:p>
      <w:r>
        <w:t>- Gap between CR01 HedgeBook vs Credit Trading? → Yes, especially for indices.</w:t>
      </w:r>
    </w:p>
    <w:p>
      <w:r>
        <w:t>- For single-name CDS, are we aligned? → Not yet; depends on data source (MRB vs AC mapping differ).</w:t>
      </w:r>
    </w:p>
    <w:p>
      <w:r>
        <w:t>- Does VAR curve assignment use guarantor? → Should be guarantor (per waterfall), but observed behavior shows primary in some cases.</w:t>
      </w:r>
    </w:p>
    <w:p>
      <w:pPr>
        <w:pStyle w:val="Heading2"/>
      </w:pPr>
      <w:r>
        <w:t>8. Hypotheses Raised</w:t>
      </w:r>
    </w:p>
    <w:p>
      <w:r>
        <w:t>- AC mapping may not respect guarantor logic consistently.</w:t>
      </w:r>
    </w:p>
    <w:p>
      <w:r>
        <w:t>- Default NR → B may mask intended guarantor choice.</w:t>
      </w:r>
    </w:p>
    <w:p>
      <w:r>
        <w:t>- Overrides/recipes may influence curve selection.</w:t>
      </w:r>
    </w:p>
    <w:p>
      <w:r>
        <w:t>- Fallback bond→CDS curve behavior needs validation.</w:t>
      </w:r>
    </w:p>
    <w:p>
      <w:r>
        <w:t>- MDS linkage ambiguity may cause wrong issuer/rating.</w:t>
      </w:r>
    </w:p>
    <w:p>
      <w:r>
        <w:t>- Customer account to ICI may bypass expected linkage.</w:t>
      </w:r>
    </w:p>
    <w:p>
      <w:pPr>
        <w:pStyle w:val="Heading2"/>
      </w:pPr>
      <w:r>
        <w:t>9. Open Questions</w:t>
      </w:r>
    </w:p>
    <w:p>
      <w:r>
        <w:t>- Will AC mapping adopt guarantor-first like MRB?</w:t>
      </w:r>
    </w:p>
    <w:p>
      <w:r>
        <w:t>- Validate Genting case end-to-end (issuer, curve, rating, overrides).</w:t>
      </w:r>
    </w:p>
    <w:p>
      <w:r>
        <w:t>- How to implement constituent enrichment for indices CR01?</w:t>
      </w:r>
    </w:p>
    <w:p>
      <w:r>
        <w:t>- Which source is golden for exposure enrichment (topic deferred)?</w:t>
      </w:r>
    </w:p>
    <w:p>
      <w:r>
        <w:t>- Which sanity attributes are reliable vs need external sources?</w:t>
      </w:r>
    </w:p>
    <w:p>
      <w:pPr>
        <w:pStyle w:val="Heading2"/>
      </w:pPr>
      <w:r>
        <w:t>10. Action Items</w:t>
      </w:r>
    </w:p>
    <w:p>
      <w:r>
        <w:t>- Review KUMA’s enrichment guidance (single vs multiple underlyings).</w:t>
      </w:r>
    </w:p>
    <w:p>
      <w:r>
        <w:t>- Schedule follow-up with Kumar and same audience.</w:t>
      </w:r>
    </w:p>
    <w:p>
      <w:r>
        <w:t>- Investigate AC mapping behavior for Genting case (12 Aug).</w:t>
      </w:r>
    </w:p>
    <w:p>
      <w:r>
        <w:t>- Check curve waterfall config (RF issuer, guarantor-first consistency).</w:t>
      </w:r>
    </w:p>
    <w:p>
      <w:r>
        <w:t>- Define index enrichment path for constituent-level CR01.</w:t>
      </w:r>
    </w:p>
    <w:p>
      <w:r>
        <w:t>- Assess MDS linkage issues.</w:t>
      </w:r>
    </w:p>
    <w:p>
      <w:pPr>
        <w:pStyle w:val="Heading2"/>
      </w:pPr>
      <w:r>
        <w:t>11. Agreements</w:t>
      </w:r>
    </w:p>
    <w:p>
      <w:r>
        <w:t>- Indices: VAR uses index curve; CR01 reporting uses constituent-level.</w:t>
      </w:r>
    </w:p>
    <w:p>
      <w:r>
        <w:t>- Focus now only on fair value/CR01; exposure enrichment discussion postponed.</w:t>
      </w:r>
    </w:p>
    <w:p>
      <w:r>
        <w:t>- HedgeBook is fair value pricing (no CVM model).</w:t>
      </w:r>
    </w:p>
    <w:p>
      <w:pPr>
        <w:pStyle w:val="Heading2"/>
      </w:pPr>
      <w:r>
        <w:t>12. Risks &amp; Impact</w:t>
      </w:r>
    </w:p>
    <w:p>
      <w:r>
        <w:t>- Mapping all constituents to one rating is unacceptable.</w:t>
      </w:r>
    </w:p>
    <w:p>
      <w:r>
        <w:t>- VAR on primary vs reporting on guarantor causes CR01 misalignment.</w:t>
      </w:r>
    </w:p>
    <w:p>
      <w:r>
        <w:t>- No constituent lookup = inaccurate HedgeBook CR01 reporting.</w:t>
      </w:r>
    </w:p>
    <w:p>
      <w:pPr>
        <w:pStyle w:val="Heading2"/>
      </w:pPr>
      <w:r>
        <w:t>13. Parking Lot</w:t>
      </w:r>
    </w:p>
    <w:p>
      <w:r>
        <w:t>- Exposure-side enrichment (netting set vs true issuer) was deferred for later discussion.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