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Minutes – Issuer / Guarantor Mapping for CDS (XVA, MRB, SR-VAR)</w:t>
      </w:r>
    </w:p>
    <w:p>
      <w:r>
        <w:t>Date: [Not specified]</w:t>
      </w:r>
    </w:p>
    <w:p>
      <w:r>
        <w:t>Participants: Risk Managers, MRB team (Kumar), Credit Trading (Sylvia, Terence), Explorer/XVA team (Dan, Shui, Ruth, others)</w:t>
      </w:r>
    </w:p>
    <w:p>
      <w:r>
        <w:t>Subject: Alignment of Issuer / Guarantor Enrichments across MRB, SR-VAR, XVA, and Hedgebook</w:t>
      </w:r>
    </w:p>
    <w:p>
      <w:pPr>
        <w:pStyle w:val="Heading1"/>
      </w:pPr>
      <w:r>
        <w:t>1. Background</w:t>
      </w:r>
    </w:p>
    <w:p>
      <w:r>
        <w:t>Discussion centered around how issuer enrichment is handled differently in MRB (CR01), SR-VAR, and XVA for CDS and bonds. Current processes diverge:</w:t>
        <w:br/>
        <w:t>- MRB uses guarantor/RF issuer</w:t>
        <w:br/>
        <w:t>- SR-VAR uses direct issuer/primary issuer curve</w:t>
        <w:br/>
        <w:t>- AC mapping exists but is not authoritative for MRB</w:t>
        <w:br/>
        <w:t>Issue: inconsistencies in risk aggregation, reporting, and netting between functions.</w:t>
      </w:r>
    </w:p>
    <w:p>
      <w:pPr>
        <w:pStyle w:val="Heading1"/>
      </w:pPr>
      <w:r>
        <w:t>2. Current Approaches</w:t>
      </w:r>
    </w:p>
    <w:p>
      <w:pPr>
        <w:pStyle w:val="Heading2"/>
      </w:pPr>
      <w:r>
        <w:t>MRB (SABRE Risk Book)</w:t>
      </w:r>
    </w:p>
    <w:p>
      <w:r>
        <w:t>- Independent of AC mapping.</w:t>
        <w:br/>
        <w:t>- For CDS: Uses guarantor at issuer level (RF issuer).</w:t>
        <w:br/>
        <w:t>- CR01 reported against RF issuer.</w:t>
        <w:br/>
        <w:t>- Enrichments existed before AC mapping; AC mapping added later.</w:t>
      </w:r>
    </w:p>
    <w:p>
      <w:pPr>
        <w:pStyle w:val="Heading2"/>
      </w:pPr>
      <w:r>
        <w:t>SR-VAR</w:t>
      </w:r>
    </w:p>
    <w:p>
      <w:r>
        <w:t>- Uses the direct entity curve on which the CDS is written.</w:t>
        <w:br/>
        <w:t>- No roll-up to guarantor.</w:t>
        <w:br/>
        <w:t>- Example: CDS on Gen-M Capital Laban → curve is Gen-M Capital, even if guaranteed by Genting Malaysia.</w:t>
        <w:br/>
        <w:t>- Pricing &amp; VAR aligned to primary issuer.</w:t>
      </w:r>
    </w:p>
    <w:p>
      <w:pPr>
        <w:pStyle w:val="Heading2"/>
      </w:pPr>
      <w:r>
        <w:t>XVA / Hedgebook</w:t>
      </w:r>
    </w:p>
    <w:p>
      <w:r>
        <w:t>- Current proposal: Use AC mapping (issuer primary) for consistency between VAR and sensitivities.</w:t>
        <w:br/>
        <w:t>- Challenge: CR01 may aggregate differently from group standards if XVA depends on AC mapping alone.</w:t>
        <w:br/>
        <w:t>- Discussion: Need possibly to use both primary issuer + guarantor field.</w:t>
      </w:r>
    </w:p>
    <w:p>
      <w:pPr>
        <w:pStyle w:val="Heading2"/>
      </w:pPr>
      <w:r>
        <w:t>Indices</w:t>
      </w:r>
    </w:p>
    <w:p>
      <w:r>
        <w:t>- CDS indices enrichments already handled.</w:t>
        <w:br/>
        <w:t>- No dependency on AC mapping.</w:t>
        <w:br/>
        <w:t>- No immediate open issues.</w:t>
      </w:r>
    </w:p>
    <w:p>
      <w:pPr>
        <w:pStyle w:val="Heading1"/>
      </w:pPr>
      <w:r>
        <w:t>3. Key Examples</w:t>
      </w:r>
    </w:p>
    <w:p>
      <w:r>
        <w:t>Genting:</w:t>
        <w:br/>
        <w:t>- CDS reference: Gen-M Capital Laban Ltd (primary issuer).</w:t>
        <w:br/>
        <w:t>- Guarantor: Genting Malaysia Berhad.</w:t>
        <w:br/>
        <w:t>- SR-VAR → Uses Gen-M Capital curve.</w:t>
        <w:br/>
        <w:t>- MRB CR01 → Uses Genting Malaysia as RF issuer.</w:t>
        <w:br/>
        <w:t>- Result: VAR and CR01 show exposure to different issuers for same CDS.</w:t>
      </w:r>
    </w:p>
    <w:p>
      <w:r>
        <w:t>BMW:</w:t>
        <w:br/>
        <w:t>- Example: BMW China Capital vs BMW AG.</w:t>
        <w:br/>
        <w:t>- Curve mapping shows divergence depending on whether issuer primary or RF issuer is chosen.</w:t>
      </w:r>
    </w:p>
    <w:p>
      <w:pPr>
        <w:pStyle w:val="Heading1"/>
      </w:pPr>
      <w:r>
        <w:t>4. Risks / Issues</w:t>
      </w:r>
    </w:p>
    <w:p>
      <w:r>
        <w:t>1. Inconsistent Aggregation: VAR (issuer primary) vs CR Delta/CR01 (guarantor RF issuer).</w:t>
        <w:br/>
        <w:t>2. Reporting Limitations: Current reports display only one issuer field.</w:t>
        <w:br/>
        <w:t>3. Temporary Workarounds: Collapsing into guarantor risks losing visibility of true issuer.</w:t>
        <w:br/>
        <w:t>4. Single-Name CDS vs No Curve: If no single-name curve, guarantor/rating/country become relevant.</w:t>
        <w:br/>
        <w:t>5. Risk Ratings: RF issuer rating not populated for CDS; farm model change not relevant.</w:t>
      </w:r>
    </w:p>
    <w:p>
      <w:pPr>
        <w:pStyle w:val="Heading1"/>
      </w:pPr>
      <w:r>
        <w:t>5. Decisions / Agreements</w:t>
      </w:r>
    </w:p>
    <w:p>
      <w:r>
        <w:t>- Divergence between MRB and SR-VAR enrichments acknowledged as by design.</w:t>
        <w:br/>
        <w:t>- Indices: No pending issues.</w:t>
        <w:br/>
        <w:t>- Risk Managers to define enrichment rules (issuer vs guarantor).</w:t>
        <w:br/>
        <w:t>- Hedgebook: continue with AC mapping for issuer primary, but explore guarantor separately.</w:t>
        <w:br/>
        <w:t>- Sabre Store: can unify enrichment logic, but not mandatory.</w:t>
      </w:r>
    </w:p>
    <w:p>
      <w:pPr>
        <w:pStyle w:val="Heading1"/>
      </w:pPr>
      <w:r>
        <w:t>6. Open Points / Next Steps</w:t>
      </w:r>
    </w:p>
    <w:p>
      <w:r>
        <w:t>1. Risk Managers to define clear enrichment requirements (issuer vs guarantor).</w:t>
        <w:br/>
        <w:t>2. Explorer/XVA internal discussion before aligning with Credit Trading.</w:t>
        <w:br/>
        <w:t>3. Technical check: can Hedgebook support two issuer fields?</w:t>
        <w:br/>
        <w:t>4. Align with Credit Trading once internal agreement is reached.</w:t>
        <w:br/>
        <w:t>5. Confirm CDS ratings not impacted by RF issuer rating field.</w:t>
      </w:r>
    </w:p>
    <w:p>
      <w:pPr>
        <w:pStyle w:val="Heading1"/>
      </w:pPr>
      <w:r>
        <w:t>7. Summary</w:t>
      </w:r>
    </w:p>
    <w:p>
      <w:r>
        <w:t>- MRB/CR01 = Guarantor (RF issuer).</w:t>
        <w:br/>
        <w:t>- SR-VAR = Direct Issuer (primary).</w:t>
        <w:br/>
        <w:t>- Mismatch impacts reporting and netting.</w:t>
        <w:br/>
        <w:t>- Path forward: Risk Managers → internal alignment → Credit Trading → potential Sabre Store solution.</w:t>
      </w:r>
    </w:p>
    <w:p>
      <w:pPr>
        <w:pStyle w:val="Heading1"/>
      </w:pPr>
      <w:r>
        <w:t>📌 Action Items</w:t>
      </w:r>
    </w:p>
    <w:p>
      <w:r>
        <w:t>- [ ] Risk Managers to draft unified enrichment requirements</w:t>
      </w:r>
    </w:p>
    <w:p>
      <w:r>
        <w:t>- [ ] Explorer/XVA to test Genting &amp; BMW cases internally</w:t>
      </w:r>
    </w:p>
    <w:p>
      <w:r>
        <w:t>- [ ] Technical check on two issuer fields in Hedgebook reports</w:t>
      </w:r>
    </w:p>
    <w:p>
      <w:r>
        <w:t>- [ ] Follow-up with Credit Trading after internal alignment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