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RPR Step 2.4 V6.0 — Rating &amp; Improvement Areas</w:t>
      </w:r>
    </w:p>
    <w:p>
      <w:pPr>
        <w:jc w:val="center"/>
      </w:pPr>
      <w:r>
        <w:rPr>
          <w:i/>
          <w:sz w:val="18"/>
        </w:rPr>
        <w:t>Sector-Inherent Factor Identification, Metrics and Weighting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8"/>
          </w:tcPr>
          <w:p>
            <w:r>
              <w:rPr>
                <w:b/>
              </w:rPr>
              <w:t xml:space="preserve">Overall assessment: </w:t>
            </w:r>
            <w:r>
              <w:t>V6.0 is materially stronger than the previous Step 2.4 approach because it makes sector-factor discovery research-driven, structurally separates Step 2.4 from event-driven Step 2.3, and keeps scoring/weighting disciplined.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2F3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2664"/>
            <w:shd w:fill="D9E2F3"/>
          </w:tcPr>
          <w:p>
            <w:r>
              <w:rPr>
                <w:b/>
                <w:sz w:val="16"/>
              </w:rPr>
              <w:t>Previous</w:t>
            </w:r>
          </w:p>
        </w:tc>
        <w:tc>
          <w:tcPr>
            <w:tcW w:type="dxa" w:w="2664"/>
            <w:shd w:fill="D9E2F3"/>
          </w:tcPr>
          <w:p>
            <w:r>
              <w:rPr>
                <w:b/>
                <w:sz w:val="16"/>
              </w:rPr>
              <w:t>V6.0</w:t>
            </w:r>
          </w:p>
        </w:tc>
        <w:tc>
          <w:tcPr>
            <w:tcW w:type="dxa" w:w="2664"/>
            <w:shd w:fill="D9E2F3"/>
          </w:tcPr>
          <w:p>
            <w:r>
              <w:rPr>
                <w:b/>
                <w:sz w:val="16"/>
              </w:rPr>
              <w:t>Assessment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Correct Step 2.4 purpose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6/10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9/10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Major improvement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Separation from Step 2.3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6/10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9.5/10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Very strong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Research discipline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5/10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8.5/10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Strong, but needs stricter evidence handling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Credit-risk methodology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8/10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9/10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Very strong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Scoring discipline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8.5/10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9/10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Keep arithmetic deterministic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Auditability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7/10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8.5/10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Needs stronger provenance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Production/API friendliness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7/10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7.5/10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Main remaining weakness</w:t>
            </w:r>
          </w:p>
        </w:tc>
      </w:tr>
    </w:tbl>
    <w:p/>
    <w:p>
      <w:r>
        <w:rPr>
          <w:b/>
          <w:sz w:val="22"/>
        </w:rPr>
        <w:t>Priority improvement areas</w:t>
      </w:r>
    </w:p>
    <w:p>
      <w:pPr>
        <w:spacing w:after="40"/>
      </w:pPr>
      <w:r>
        <w:rPr>
          <w:b/>
        </w:rPr>
        <w:t>1. Evidence provenance — HIGH</w:t>
      </w:r>
      <w:r>
        <w:t xml:space="preserve"> — Make research evidence machine-readable: source type/name/date, evidence summary and as-of date. Avoid generic labels such as “rating-agency outlook” without traceable support.</w:t>
      </w:r>
    </w:p>
    <w:p>
      <w:pPr>
        <w:spacing w:after="40"/>
      </w:pPr>
      <w:r>
        <w:rPr>
          <w:b/>
        </w:rPr>
        <w:t>2. Separate retrieval from reasoning — HIGH</w:t>
      </w:r>
      <w:r>
        <w:t xml:space="preserve"> — Use approved retrieval/search first, then feed the evidence package to Opus V6.0. Keep research and credit reasoning auditable rather than hidden in one opaque call.</w:t>
      </w:r>
    </w:p>
    <w:p>
      <w:pPr>
        <w:spacing w:after="40"/>
      </w:pPr>
      <w:r>
        <w:rPr>
          <w:b/>
        </w:rPr>
        <w:t>3. Anti-hallucination + data-availability rule — VERY HIGH</w:t>
      </w:r>
      <w:r>
        <w:t xml:space="preserve"> — Explicitly forbid invented sector statistics, formulas, benchmarks and thresholds. If evidence is unavailable, say so or choose a more supportable metric.</w:t>
      </w:r>
    </w:p>
    <w:p>
      <w:pPr>
        <w:spacing w:after="40"/>
      </w:pPr>
      <w:r>
        <w:rPr>
          <w:b/>
        </w:rPr>
        <w:t>4. Step 2.5 usability test — VERY HIGH</w:t>
      </w:r>
      <w:r>
        <w:t xml:space="preserve"> — Every Step 2.4 metric should be realistically measurable later from SEC, CAM, approved web evidence or standard financial statements. Reject elegant but non-operational metrics.</w:t>
      </w:r>
    </w:p>
    <w:p>
      <w:pPr>
        <w:spacing w:after="40"/>
      </w:pPr>
      <w:r>
        <w:rPr>
          <w:b/>
        </w:rPr>
        <w:t>5. Factor overlap / orthogonality check — MEDIUM-HIGH</w:t>
      </w:r>
      <w:r>
        <w:t xml:space="preserve"> — Require each of the 4–5 factors to represent a distinct credit transmission mechanism. Merge factors that materially duplicate rationale or metrics.</w:t>
      </w:r>
    </w:p>
    <w:p>
      <w:pPr>
        <w:spacing w:after="40"/>
      </w:pPr>
      <w:r>
        <w:rPr>
          <w:b/>
        </w:rPr>
        <w:t>6. Deterministic arithmetic — KEEP AS BONE</w:t>
      </w:r>
      <w:r>
        <w:t xml:space="preserve"> — LLM may propose importance and methodology, but Python should own HIGH=2, MEDIUM=1, weights, net score, score-5 validation and composite arithmetic.</w:t>
      </w:r>
    </w:p>
    <w:p/>
    <w:p>
      <w:r>
        <w:rPr>
          <w:b/>
          <w:sz w:val="22"/>
        </w:rPr>
        <w:t>Recommended target design</w:t>
      </w:r>
    </w:p>
    <w:p>
      <w:r>
        <w:rPr>
          <w:b/>
        </w:rPr>
        <w:t>Step 2.2 confirmed L1/L2/L3</w:t>
      </w:r>
      <w:r>
        <w:t xml:space="preserve"> → approved sector retrieval/research → </w:t>
      </w:r>
      <w:r>
        <w:rPr>
          <w:b/>
        </w:rPr>
        <w:t>Opus V6.0</w:t>
      </w:r>
      <w:r>
        <w:t xml:space="preserve"> identifies 4–5 structural factors + metrics/thresholds → </w:t>
      </w:r>
      <w:r>
        <w:rPr>
          <w:b/>
        </w:rPr>
        <w:t>deterministic Python validation/scoring</w:t>
      </w:r>
      <w:r>
        <w:t xml:space="preserve"> → analyst review/feedback → confirmed/versioned Step 2.4 framework → Step 2.5.</w:t>
      </w:r>
    </w:p>
    <w:p>
      <w:r>
        <w:rPr>
          <w:b/>
        </w:rPr>
        <w:t xml:space="preserve">Bottom line: </w:t>
      </w:r>
      <w:r>
        <w:t>Keep V6.0 as the Step 2.4 business prompt. Enhance it mainly with provenance, no-invention rules, downstream metric usability and overlap checks; do not rewrite its core methodology.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