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b/>
          <w:bCs/>
          <w:sz w:val="24"/>
          <w:szCs w:val="24"/>
        </w:rPr>
        <w:t xml:space="preserve">Ala-Eddine Karib, student ID: 8696</w:t>
      </w:r>
    </w:p>
    <w:p>
      <w:pPr>
        <w:spacing w:after="320"/>
        <w:jc w:val="center"/>
      </w:pPr>
      <w:r>
        <w:rPr>
          <w:rFonts w:ascii="Arial" w:cs="Arial" w:eastAsia="Arial" w:hAnsi="Arial"/>
          <w:i/>
          <w:iCs/>
          <w:sz w:val="20"/>
          <w:szCs w:val="20"/>
        </w:rPr>
        <w:t xml:space="preserve">(Student's first name, surname and ID number)</w:t>
      </w:r>
    </w:p>
    <w:p>
      <w:pPr>
        <w:spacing w:after="200"/>
        <w:jc w:val="center"/>
      </w:pPr>
      <w:r>
        <w:rPr>
          <w:rFonts w:ascii="Arial" w:cs="Arial" w:eastAsia="Arial" w:hAnsi="Arial"/>
          <w:b/>
          <w:bCs/>
          <w:sz w:val="28"/>
          <w:szCs w:val="28"/>
        </w:rPr>
        <w:t xml:space="preserve">PROFESSIONAL INTERNSHIP REPORT</w:t>
      </w:r>
    </w:p>
    <w:p>
      <w:pPr>
        <w:spacing w:after="320"/>
      </w:pPr>
      <w:r>
        <w:rPr>
          <w:rFonts w:ascii="Arial" w:cs="Arial" w:eastAsia="Arial" w:hAnsi="Arial"/>
          <w:sz w:val="24"/>
          <w:szCs w:val="24"/>
        </w:rPr>
        <w:t xml:space="preserve">Academic terms: </w:t>
      </w:r>
      <w:r>
        <w:rPr>
          <w:rFonts w:ascii="Arial" w:cs="Arial" w:eastAsia="Arial" w:hAnsi="Arial"/>
          <w:b/>
          <w:bCs/>
          <w:sz w:val="24"/>
          <w:szCs w:val="24"/>
        </w:rPr>
        <w:t xml:space="preserve">2024/2025 – 2025/2026</w:t>
      </w:r>
    </w:p>
    <w:p>
      <w:pPr>
        <w:spacing w:after="120"/>
      </w:pPr>
      <w:r>
        <w:rPr>
          <w:rFonts w:ascii="Arial" w:cs="Arial" w:eastAsia="Arial" w:hAnsi="Arial"/>
          <w:b/>
          <w:bCs/>
          <w:sz w:val="24"/>
          <w:szCs w:val="24"/>
        </w:rPr>
        <w:t xml:space="preserve">Worksite description</w:t>
      </w:r>
    </w:p>
    <w:p>
      <w:pPr>
        <w:spacing w:after="100"/>
      </w:pPr>
      <w:r>
        <w:rPr>
          <w:rFonts w:ascii="Arial" w:cs="Arial" w:eastAsia="Arial" w:hAnsi="Arial"/>
          <w:sz w:val="24"/>
          <w:szCs w:val="24"/>
        </w:rPr>
        <w:t xml:space="preserve">Name of company/institution: </w:t>
      </w:r>
      <w:r>
        <w:rPr>
          <w:rFonts w:ascii="Arial" w:cs="Arial" w:eastAsia="Arial" w:hAnsi="Arial"/>
          <w:b/>
          <w:bCs/>
          <w:sz w:val="24"/>
          <w:szCs w:val="24"/>
        </w:rPr>
        <w:t xml:space="preserve">Standard Chartered Bank GBS Poland Sp. z o.o.</w:t>
      </w:r>
    </w:p>
    <w:p>
      <w:pPr>
        <w:spacing w:after="100"/>
      </w:pPr>
      <w:r>
        <w:rPr>
          <w:rFonts w:ascii="Arial" w:cs="Arial" w:eastAsia="Arial" w:hAnsi="Arial"/>
          <w:sz w:val="24"/>
          <w:szCs w:val="24"/>
        </w:rPr>
        <w:t xml:space="preserve">Address of company/institution: </w:t>
      </w:r>
      <w:r>
        <w:rPr>
          <w:rFonts w:ascii="Arial" w:cs="Arial" w:eastAsia="Arial" w:hAnsi="Arial"/>
          <w:b/>
          <w:bCs/>
          <w:sz w:val="24"/>
          <w:szCs w:val="24"/>
        </w:rPr>
        <w:t xml:space="preserve">al. Jana Pawła II 29, 00-867 Warsaw, Poland</w:t>
      </w:r>
    </w:p>
    <w:p>
      <w:pPr>
        <w:spacing w:after="400"/>
      </w:pPr>
      <w:r>
        <w:rPr>
          <w:rFonts w:ascii="Arial" w:cs="Arial" w:eastAsia="Arial" w:hAnsi="Arial"/>
          <w:sz w:val="24"/>
          <w:szCs w:val="24"/>
        </w:rPr>
        <w:t xml:space="preserve">Internship duration: from </w:t>
      </w:r>
      <w:r>
        <w:rPr>
          <w:rFonts w:ascii="Arial" w:cs="Arial" w:eastAsia="Arial" w:hAnsi="Arial"/>
          <w:b/>
          <w:bCs/>
          <w:sz w:val="24"/>
          <w:szCs w:val="24"/>
        </w:rPr>
        <w:t xml:space="preserve">01.12.2024</w:t>
      </w:r>
      <w:r>
        <w:rPr>
          <w:rFonts w:ascii="Arial" w:cs="Arial" w:eastAsia="Arial" w:hAnsi="Arial"/>
          <w:sz w:val="24"/>
          <w:szCs w:val="24"/>
        </w:rPr>
        <w:t xml:space="preserve"> to </w:t>
      </w:r>
      <w:r>
        <w:rPr>
          <w:rFonts w:ascii="Arial" w:cs="Arial" w:eastAsia="Arial" w:hAnsi="Arial"/>
          <w:b/>
          <w:bCs/>
          <w:sz w:val="24"/>
          <w:szCs w:val="24"/>
        </w:rPr>
        <w:t xml:space="preserve">30.06.2026</w:t>
      </w:r>
      <w:r>
        <w:rPr>
          <w:rFonts w:ascii="Arial" w:cs="Arial" w:eastAsia="Arial" w:hAnsi="Arial"/>
          <w:sz w:val="24"/>
          <w:szCs w:val="24"/>
        </w:rPr>
        <w:t xml:space="preserve">     Number of hours: </w:t>
      </w:r>
      <w:r>
        <w:rPr>
          <w:rFonts w:ascii="Arial" w:cs="Arial" w:eastAsia="Arial" w:hAnsi="Arial"/>
          <w:b/>
          <w:bCs/>
          <w:sz w:val="24"/>
          <w:szCs w:val="24"/>
        </w:rPr>
        <w:t xml:space="preserve">360</w:t>
      </w:r>
    </w:p>
    <w:p>
      <w:pPr>
        <w:spacing w:after="160"/>
      </w:pPr>
      <w:r>
        <w:rPr>
          <w:rFonts w:ascii="Arial" w:cs="Arial" w:eastAsia="Arial" w:hAnsi="Arial"/>
          <w:b/>
          <w:bCs/>
          <w:sz w:val="24"/>
          <w:szCs w:val="24"/>
        </w:rPr>
        <w:t xml:space="preserve">1.  Company/institution overview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999999" w:sz="1"/>
              <w:left w:val="single" w:color="999999" w:sz="1"/>
              <w:bottom w:val="single" w:color="999999" w:sz="1"/>
              <w:right w:val="single" w:color="999999" w:sz="1"/>
            </w:tcBorders>
            <w:tcMar>
              <w:top w:type="dxa" w:w="140"/>
              <w:left w:type="dxa" w:w="180"/>
              <w:bottom w:type="dxa" w:w="140"/>
              <w:right w:type="dxa" w:w="180"/>
            </w:tcMar>
          </w:tcPr>
          <w:p>
            <w:pPr>
              <w:spacing w:after="140"/>
            </w:pPr>
            <w:r>
              <w:rPr>
                <w:rFonts w:ascii="Arial" w:cs="Arial" w:eastAsia="Arial" w:hAnsi="Arial"/>
                <w:sz w:val="24"/>
                <w:szCs w:val="24"/>
              </w:rPr>
              <w:t xml:space="preserve">Standard Chartered Bank (SCB) is a leading international banking group operating in more than 50 markets across Asia, Africa, the Middle East and Europe. The bank provides a broad range of financial services including retail banking, corporate and institutional banking, commercial banking, treasury and financial markets, and transaction banking. Its global headquarters are in London, and operations are structured around three main client segments: Consumer, Private and Business Banking; Corporate, Commercial and Institutional Banking; and Ventures.</w:t>
            </w:r>
          </w:p>
          <w:p>
            <w:pPr>
              <w:spacing w:after="140"/>
            </w:pPr>
            <w:r>
              <w:rPr>
                <w:rFonts w:ascii="Arial" w:cs="Arial" w:eastAsia="Arial" w:hAnsi="Arial"/>
                <w:sz w:val="24"/>
                <w:szCs w:val="24"/>
              </w:rPr>
              <w:t xml:space="preserve">Standard Chartered Bank GBS Poland Sp. z o.o. in Warsaw is one of the bank's Global Business Services centres, focused on technology delivery, risk analytics, financial operations and regulatory programmes. The Warsaw centre operates within a matrix organisational structure: employees report both to local functional managers and to global business or technology owners. Teams are organised by domain — for example, Market Risk Technology, Credit Risk Analytics and Financial Markets Technology — each with defined leadership layers.</w:t>
            </w:r>
          </w:p>
          <w:p>
            <w:pPr>
              <w:spacing w:after="0"/>
            </w:pPr>
            <w:r>
              <w:rPr>
                <w:rFonts w:ascii="Arial" w:cs="Arial" w:eastAsia="Arial" w:hAnsi="Arial"/>
                <w:sz w:val="24"/>
                <w:szCs w:val="24"/>
              </w:rPr>
              <w:t xml:space="preserve">The bank places a strong strategic emphasis on digital transformation, cloud adoption and data-driven decision-making. It operates several proprietary platforms including SABRE (a risk and pricing engine), Cortex (a functional scripting and analytics environment), Aspire (a sub-ledger system) and Murex (a third-party trading and treasury platform). The bank competes globally with institutions such as HSBC, Citibank, Deutsche Bank and BNP Paribas in the international corporate and institutional banking space.</w:t>
            </w:r>
          </w:p>
        </w:tc>
      </w:tr>
    </w:tbl>
    <w:p>
      <w:pPr>
        <w:spacing w:after="80"/>
      </w:pPr>
      <w:r>
        <w:rPr>
          <w:rFonts w:ascii="Arial" w:cs="Arial" w:eastAsia="Arial" w:hAnsi="Arial"/>
          <w:sz w:val="24"/>
          <w:szCs w:val="24"/>
        </w:rPr>
        <w:t xml:space="preserve"/>
      </w:r>
    </w:p>
    <w:p>
      <w:pPr>
        <w:spacing w:after="160"/>
      </w:pPr>
      <w:r>
        <w:rPr>
          <w:rFonts w:ascii="Arial" w:cs="Arial" w:eastAsia="Arial" w:hAnsi="Arial"/>
          <w:b/>
          <w:bCs/>
          <w:sz w:val="24"/>
          <w:szCs w:val="24"/>
        </w:rPr>
        <w:t xml:space="preserve">2.  Description of internship department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999999" w:sz="1"/>
              <w:left w:val="single" w:color="999999" w:sz="1"/>
              <w:bottom w:val="single" w:color="999999" w:sz="1"/>
              <w:right w:val="single" w:color="999999" w:sz="1"/>
            </w:tcBorders>
            <w:tcMar>
              <w:top w:type="dxa" w:w="140"/>
              <w:left w:type="dxa" w:w="180"/>
              <w:bottom w:type="dxa" w:w="140"/>
              <w:right w:type="dxa" w:w="180"/>
            </w:tcMar>
          </w:tcPr>
          <w:p>
            <w:pPr>
              <w:spacing w:after="140"/>
            </w:pPr>
            <w:r>
              <w:rPr>
                <w:rFonts w:ascii="Arial" w:cs="Arial" w:eastAsia="Arial" w:hAnsi="Arial"/>
                <w:sz w:val="24"/>
                <w:szCs w:val="24"/>
              </w:rPr>
              <w:t xml:space="preserve">The internship was undertaken within the Financial Markets Risk Technology and Analytics department at Standard Chartered Bank GBS Poland. The department is responsible for the design, delivery and ongoing governance of quantitative risk and pricing models, regulatory compliance frameworks and technology migration programmes supporting the bank's financial markets and credit risk functions globally.</w:t>
            </w:r>
          </w:p>
          <w:p>
            <w:pPr>
              <w:spacing w:after="140"/>
            </w:pPr>
            <w:r>
              <w:rPr>
                <w:rFonts w:ascii="Arial" w:cs="Arial" w:eastAsia="Arial" w:hAnsi="Arial"/>
                <w:sz w:val="24"/>
                <w:szCs w:val="24"/>
              </w:rPr>
              <w:t xml:space="preserve">The department operates at the intersection of quantitative finance, regulatory technology and software delivery. Its core activities include development and validation of pricing models for derivatives and execution of strategic system migration programmes, notably the SABRE AMCST programme.</w:t>
            </w:r>
          </w:p>
          <w:p>
            <w:pPr>
              <w:spacing w:after="0"/>
            </w:pPr>
            <w:r>
              <w:rPr>
                <w:rFonts w:ascii="Arial" w:cs="Arial" w:eastAsia="Arial" w:hAnsi="Arial"/>
                <w:sz w:val="24"/>
                <w:szCs w:val="24"/>
              </w:rPr>
              <w:t xml:space="preserve">The team works in close collaboration with quantitative analysts, software engineers, system architects, operations teams and senior business stakeholders. Project delivery follows Agile methodologies with structured governance through working group meetings and steering committees. Key tools include SABRE/Cortex, Murex, Aspire, Jira, Confluence, Python and SQL.</w:t>
            </w:r>
          </w:p>
        </w:tc>
      </w:tr>
    </w:tbl>
    <w:p>
      <w:pPr>
        <w:spacing w:after="80"/>
      </w:pPr>
      <w:r>
        <w:rPr>
          <w:rFonts w:ascii="Arial" w:cs="Arial" w:eastAsia="Arial" w:hAnsi="Arial"/>
          <w:sz w:val="24"/>
          <w:szCs w:val="24"/>
        </w:rPr>
        <w:t xml:space="preserve"/>
      </w:r>
    </w:p>
    <w:p>
      <w:pPr>
        <w:spacing w:after="160"/>
      </w:pPr>
      <w:r>
        <w:rPr>
          <w:rFonts w:ascii="Arial" w:cs="Arial" w:eastAsia="Arial" w:hAnsi="Arial"/>
          <w:b/>
          <w:bCs/>
          <w:sz w:val="24"/>
          <w:szCs w:val="24"/>
        </w:rPr>
        <w:t xml:space="preserve">3.  Position and description of duties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999999" w:sz="1"/>
              <w:left w:val="single" w:color="999999" w:sz="1"/>
              <w:bottom w:val="single" w:color="999999" w:sz="1"/>
              <w:right w:val="single" w:color="999999" w:sz="1"/>
            </w:tcBorders>
            <w:tcMar>
              <w:top w:type="dxa" w:w="140"/>
              <w:left w:type="dxa" w:w="180"/>
              <w:bottom w:type="dxa" w:w="140"/>
              <w:right w:type="dxa" w:w="180"/>
            </w:tcMar>
          </w:tcPr>
          <w:p>
            <w:pPr>
              <w:spacing w:after="140"/>
            </w:pPr>
            <w:r>
              <w:rPr>
                <w:rFonts w:ascii="Arial" w:cs="Arial" w:eastAsia="Arial" w:hAnsi="Arial"/>
                <w:b/>
                <w:bCs/>
                <w:sz w:val="24"/>
                <w:szCs w:val="24"/>
              </w:rPr>
              <w:t xml:space="preserve">Job title: Lead Business Analyst</w:t>
            </w:r>
          </w:p>
          <w:p>
            <w:pPr>
              <w:spacing w:after="140"/>
            </w:pPr>
            <w:r>
              <w:rPr>
                <w:rFonts w:ascii="Arial" w:cs="Arial" w:eastAsia="Arial" w:hAnsi="Arial"/>
                <w:sz w:val="24"/>
                <w:szCs w:val="24"/>
              </w:rPr>
              <w:t xml:space="preserve">As Lead Business Analyst within the Financial Markets Risk Technology and Analytics team, the primary responsibilities centred on bridging the gap between quantitative finance domain knowledge and technology delivery, requiring both deep analytical work and cross-functional project coordination.</w:t>
            </w:r>
          </w:p>
          <w:p>
            <w:pPr>
              <w:spacing w:after="100"/>
            </w:pPr>
            <w:r>
              <w:rPr>
                <w:rFonts w:ascii="Arial" w:cs="Arial" w:eastAsia="Arial" w:hAnsi="Arial"/>
                <w:sz w:val="24"/>
                <w:szCs w:val="24"/>
              </w:rPr>
              <w:t xml:space="preserve">Key duties and projects:</w:t>
            </w:r>
          </w:p>
          <w:p>
            <w:pPr>
              <w:pStyle w:val="ListParagraph"/>
              <w:numPr>
                <w:ilvl w:val="0"/>
                <w:numId w:val="2"/>
              </w:numPr>
              <w:spacing w:after="100"/>
            </w:pPr>
            <w:r>
              <w:rPr>
                <w:rFonts w:ascii="Arial" w:cs="Arial" w:eastAsia="Arial" w:hAnsi="Arial"/>
                <w:sz w:val="24"/>
                <w:szCs w:val="24"/>
              </w:rPr>
              <w:t xml:space="preserve">SABRE AMCST Migration Programme: Led the weekly working group responsible for migrating 339 AMCST credit portfolios across Credit and Portfolio Management Group, Financial Markets, Transaction Banking and Treasury into the SABRE platform. Responsibilities included defining migration logic, reconciling accrual and fair value outputs between legacy Murex systems and SABRE, coordinating with the Aspire sub-ledger team, and producing governance documentation for steering meetings.</w:t>
            </w:r>
          </w:p>
          <w:p>
            <w:pPr>
              <w:pStyle w:val="ListParagraph"/>
              <w:numPr>
                <w:ilvl w:val="0"/>
                <w:numId w:val="2"/>
              </w:numPr>
              <w:spacing w:after="100"/>
            </w:pPr>
            <w:r>
              <w:rPr>
                <w:rFonts w:ascii="Arial" w:cs="Arial" w:eastAsia="Arial" w:hAnsi="Arial"/>
                <w:sz w:val="24"/>
                <w:szCs w:val="24"/>
              </w:rPr>
              <w:t xml:space="preserve">Derivatives Pricing Analysis: Worked with pricing models for Credit Default Swaps (CDS) and Total Return Swaps (TRS), including analysis of coupon accrual mechanics, multi-curve OIS discounting frameworks (MCF) and STERT pricing curve configurations within the SABRE/Cortex environment.</w:t>
            </w:r>
          </w:p>
          <w:p>
            <w:pPr>
              <w:pStyle w:val="ListParagraph"/>
              <w:numPr>
                <w:ilvl w:val="0"/>
                <w:numId w:val="2"/>
              </w:numPr>
              <w:spacing w:after="100"/>
            </w:pPr>
            <w:r>
              <w:rPr>
                <w:rFonts w:ascii="Arial" w:cs="Arial" w:eastAsia="Arial" w:hAnsi="Arial"/>
                <w:sz w:val="24"/>
                <w:szCs w:val="24"/>
              </w:rPr>
              <w:t xml:space="preserve">Data Analysis and Reconciliation: Used Python (pandas, PyMuPDF, pypdf) and SQL to extract, transform and reconcile large financial datasets — including NPV, PV and mark-to-market figures — between source systems and target environments as part of migration validation.</w:t>
            </w:r>
          </w:p>
          <w:p>
            <w:pPr>
              <w:pStyle w:val="ListParagraph"/>
              <w:numPr>
                <w:ilvl w:val="0"/>
                <w:numId w:val="2"/>
              </w:numPr>
              <w:spacing w:after="100"/>
            </w:pPr>
            <w:r>
              <w:rPr>
                <w:rFonts w:ascii="Arial" w:cs="Arial" w:eastAsia="Arial" w:hAnsi="Arial"/>
                <w:sz w:val="24"/>
                <w:szCs w:val="24"/>
              </w:rPr>
              <w:t xml:space="preserve">Platform Scripting and Analytics: Worked within the Cortex scripting environment to extract portfolio risk metadata, analyse PNL breakdowns and validate VolScaling Core module outputs across 260 historical simulation scenarios.</w:t>
            </w:r>
          </w:p>
          <w:p>
            <w:pPr>
              <w:pStyle w:val="ListParagraph"/>
              <w:numPr>
                <w:ilvl w:val="0"/>
                <w:numId w:val="2"/>
              </w:numPr>
              <w:spacing w:after="100"/>
            </w:pPr>
            <w:r>
              <w:rPr>
                <w:rFonts w:ascii="Arial" w:cs="Arial" w:eastAsia="Arial" w:hAnsi="Arial"/>
                <w:sz w:val="24"/>
                <w:szCs w:val="24"/>
              </w:rPr>
              <w:t xml:space="preserve">Requirements Gathering and Documentation: Gathered and documented business and technical requirements from stakeholders across multiple business units. Produced business requirements documents, functional specifications, process flow diagrams, working group minutes and impact assessments.</w:t>
            </w:r>
          </w:p>
          <w:p>
            <w:pPr>
              <w:pStyle w:val="ListParagraph"/>
              <w:numPr>
                <w:ilvl w:val="0"/>
                <w:numId w:val="2"/>
              </w:numPr>
              <w:spacing w:after="100"/>
            </w:pPr>
            <w:r>
              <w:rPr>
                <w:rFonts w:ascii="Arial" w:cs="Arial" w:eastAsia="Arial" w:hAnsi="Arial"/>
                <w:sz w:val="24"/>
                <w:szCs w:val="24"/>
              </w:rPr>
              <w:t xml:space="preserve">Agile Delivery Support: Participated in sprint planning, backlog refinement, stand-ups and retrospectives. Created and maintained user stories and acceptance criteria using Jira and Confluence.</w:t>
            </w:r>
          </w:p>
          <w:p>
            <w:pPr>
              <w:pStyle w:val="ListParagraph"/>
              <w:numPr>
                <w:ilvl w:val="0"/>
                <w:numId w:val="2"/>
              </w:numPr>
              <w:spacing w:after="100"/>
            </w:pPr>
            <w:r>
              <w:rPr>
                <w:rFonts w:ascii="Arial" w:cs="Arial" w:eastAsia="Arial" w:hAnsi="Arial"/>
                <w:sz w:val="24"/>
                <w:szCs w:val="24"/>
              </w:rPr>
              <w:t xml:space="preserve">Stakeholder Management and Governance: Coordinated weekly SABRE Adoption working group meetings with participants from eight business units, tracking open actions and escalating risks to programme leadership.</w:t>
            </w:r>
          </w:p>
          <w:p>
            <w:pPr>
              <w:pStyle w:val="ListParagraph"/>
              <w:numPr>
                <w:ilvl w:val="0"/>
                <w:numId w:val="2"/>
              </w:numPr>
              <w:spacing w:after="100"/>
            </w:pPr>
            <w:r>
              <w:rPr>
                <w:rFonts w:ascii="Arial" w:cs="Arial" w:eastAsia="Arial" w:hAnsi="Arial"/>
                <w:sz w:val="24"/>
                <w:szCs w:val="24"/>
              </w:rPr>
              <w:t xml:space="preserve">Testing and UAT Support: Supported system testing and user acceptance testing for platform deliverables, including defect triage and validation of calculation outputs against expected results.</w:t>
            </w:r>
          </w:p>
        </w:tc>
      </w:tr>
    </w:tbl>
    <w:p>
      <w:pPr>
        <w:spacing w:after="80"/>
      </w:pPr>
      <w:r>
        <w:rPr>
          <w:rFonts w:ascii="Arial" w:cs="Arial" w:eastAsia="Arial" w:hAnsi="Arial"/>
          <w:sz w:val="24"/>
          <w:szCs w:val="24"/>
        </w:rPr>
        <w:t xml:space="preserve"/>
      </w:r>
    </w:p>
    <w:p>
      <w:pPr>
        <w:spacing w:after="160"/>
      </w:pPr>
      <w:r>
        <w:rPr>
          <w:rFonts w:ascii="Arial" w:cs="Arial" w:eastAsia="Arial" w:hAnsi="Arial"/>
          <w:b/>
          <w:bCs/>
          <w:sz w:val="24"/>
          <w:szCs w:val="24"/>
        </w:rPr>
        <w:t xml:space="preserve">4.  Conclusions and summary of the internship – analysis of the learning outcomes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999999" w:sz="1"/>
              <w:left w:val="single" w:color="999999" w:sz="1"/>
              <w:bottom w:val="single" w:color="999999" w:sz="1"/>
              <w:right w:val="single" w:color="999999" w:sz="1"/>
            </w:tcBorders>
            <w:tcMar>
              <w:top w:type="dxa" w:w="140"/>
              <w:left w:type="dxa" w:w="180"/>
              <w:bottom w:type="dxa" w:w="140"/>
              <w:right w:type="dxa" w:w="180"/>
            </w:tcMar>
          </w:tcPr>
          <w:p>
            <w:pPr>
              <w:spacing w:after="140"/>
            </w:pPr>
            <w:r>
              <w:rPr>
                <w:rFonts w:ascii="Arial" w:cs="Arial" w:eastAsia="Arial" w:hAnsi="Arial"/>
                <w:sz w:val="24"/>
                <w:szCs w:val="24"/>
              </w:rPr>
              <w:t xml:space="preserve">The professional internship at Standard Chartered Bank GBS Poland provided an intensive and highly practical experience at the intersection of computer science, data engineering and quantitative finance. Working within a technology and analytics team responsible for regulatory programmes and large-scale system migrations allowed for direct application of knowledge acquired during the MSc in Cloud Computing programme, particularly in the areas of data modelling, systems analysis, database management and IT systems administration.</w:t>
            </w:r>
          </w:p>
          <w:p>
            <w:pPr>
              <w:spacing w:after="140"/>
            </w:pPr>
            <w:r>
              <w:rPr>
                <w:rFonts w:ascii="Arial" w:cs="Arial" w:eastAsia="Arial" w:hAnsi="Arial"/>
                <w:sz w:val="24"/>
                <w:szCs w:val="24"/>
              </w:rPr>
              <w:t xml:space="preserve">In terms of technical knowledge, the internship deepened practical understanding of enterprise data processing pipelines, large-scale system migration architecture and the integration challenges between heterogeneous financial platforms. Working with Python for data extraction, transformation and validation — and with SQL for querying structured financial datasets — reinforced programming skills in real production contexts. Exposure to the SABRE/Cortex functional scripting environment provided experience with a specialised domain-specific language used in risk analytics, developing the ability to reason about type systems, data structures and computational correctness in a high-stakes environment.</w:t>
            </w:r>
          </w:p>
          <w:p>
            <w:pPr>
              <w:spacing w:after="140"/>
            </w:pPr>
            <w:r>
              <w:rPr>
                <w:rFonts w:ascii="Arial" w:cs="Arial" w:eastAsia="Arial" w:hAnsi="Arial"/>
                <w:sz w:val="24"/>
                <w:szCs w:val="24"/>
              </w:rPr>
              <w:t xml:space="preserve">The internship also developed significant capability in working independently and as part of distributed, cross-functional teams. Leading a weekly working group with participants from eight business units required the ability to plan, communicate clearly and manage complex stakeholder expectations — skills directly relevant to IT project management and systems delivery roles.</w:t>
            </w:r>
          </w:p>
          <w:p>
            <w:pPr>
              <w:spacing w:after="140"/>
            </w:pPr>
            <w:r>
              <w:rPr>
                <w:rFonts w:ascii="Arial" w:cs="Arial" w:eastAsia="Arial" w:hAnsi="Arial"/>
                <w:sz w:val="24"/>
                <w:szCs w:val="24"/>
              </w:rPr>
              <w:t xml:space="preserve">A key challenge encountered during the internship was reconciling outputs between two complex financial systems (Murex and SABRE) that operated on different calculation methodologies. Resolving these discrepancies required combining domain knowledge with systematic data analysis, debugging of scripting logic and structured communication with quantitative model owners — reinforcing the importance of rigorous problem-solving methodology in IT systems work.</w:t>
            </w:r>
          </w:p>
          <w:p>
            <w:pPr>
              <w:spacing w:after="140"/>
            </w:pPr>
            <w:r>
              <w:rPr>
                <w:rFonts w:ascii="Arial" w:cs="Arial" w:eastAsia="Arial" w:hAnsi="Arial"/>
                <w:sz w:val="24"/>
                <w:szCs w:val="24"/>
              </w:rPr>
              <w:t xml:space="preserve">The experience of conveying technically complex concepts — such as OIS discounting and migration reconciliation logic — to non-specialist stakeholders from operations, finance and business management developed strong communication skills relevant to any IT specialist role.</w:t>
            </w:r>
          </w:p>
          <w:p>
            <w:pPr>
              <w:spacing w:after="0"/>
            </w:pPr>
            <w:r>
              <w:rPr>
                <w:rFonts w:ascii="Arial" w:cs="Arial" w:eastAsia="Arial" w:hAnsi="Arial"/>
                <w:sz w:val="24"/>
                <w:szCs w:val="24"/>
              </w:rPr>
              <w:t xml:space="preserve">Overall, the internship substantially advanced readiness for a professional career in technology and analytics, confirmed the practical value of the MSc programme's theoretical foundations, and provided direct exposure to enterprise-scale IT system design, delivery and governance in a regulated international banking environment.</w:t>
            </w:r>
          </w:p>
        </w:tc>
      </w:tr>
    </w:tbl>
    <w:p>
      <w:pPr>
        <w:spacing w:after="80"/>
      </w:pPr>
      <w:r>
        <w:rPr>
          <w:rFonts w:ascii="Arial" w:cs="Arial" w:eastAsia="Arial" w:hAnsi="Arial"/>
          <w:sz w:val="24"/>
          <w:szCs w:val="24"/>
        </w:rPr>
        <w:t xml:space="preserve"/>
      </w:r>
    </w:p>
    <w:p>
      <w:pPr>
        <w:spacing w:after="80"/>
      </w:pPr>
      <w:r>
        <w:rPr>
          <w:rFonts w:ascii="Arial" w:cs="Arial" w:eastAsia="Arial" w:hAnsi="Arial"/>
          <w:sz w:val="24"/>
          <w:szCs w:val="24"/>
        </w:rPr>
        <w:t xml:space="preserve"/>
      </w:r>
    </w:p>
    <w:p>
      <w:pPr>
        <w:spacing w:after="160"/>
      </w:pPr>
      <w:r>
        <w:rPr>
          <w:rFonts w:ascii="Arial" w:cs="Arial" w:eastAsia="Arial" w:hAnsi="Arial"/>
          <w:sz w:val="24"/>
          <w:szCs w:val="24"/>
        </w:rPr>
        <w:t xml:space="preserve">Warsaw, 03.06.2026          ………………………………………………………………</w:t>
      </w:r>
    </w:p>
    <w:p>
      <w:pPr>
        <w:spacing w:after="160"/>
      </w:pPr>
      <w:r>
        <w:rPr>
          <w:rFonts w:ascii="Arial" w:cs="Arial" w:eastAsia="Arial" w:hAnsi="Arial"/>
          <w:i/>
          <w:iCs/>
          <w:sz w:val="20"/>
          <w:szCs w:val="20"/>
        </w:rPr>
        <w:t xml:space="preserve">                                              (date, signature)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100"/>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2026-06-03T12:56:09.681Z</dcterms:created>
  <dcterms:modified xsi:type="dcterms:W3CDTF">2026-06-03T12:56:09.681Z</dcterms:modified>
</cp:coreProperties>
</file>

<file path=docProps/custom.xml><?xml version="1.0" encoding="utf-8"?>
<Properties xmlns="http://schemas.openxmlformats.org/officeDocument/2006/custom-properties" xmlns:vt="http://schemas.openxmlformats.org/officeDocument/2006/docPropsVTypes"/>
</file>