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Ala-Eddine Karib, student ID: 8696</w:t>
      </w:r>
    </w:p>
    <w:p>
      <w:pPr>
        <w:spacing w:after="320"/>
        <w:jc w:val="center"/>
      </w:pPr>
      <w:r>
        <w:rPr>
          <w:rFonts w:ascii="Arial" w:cs="Arial" w:eastAsia="Arial" w:hAnsi="Arial"/>
          <w:i/>
          <w:iCs/>
          <w:sz w:val="20"/>
          <w:szCs w:val="20"/>
        </w:rPr>
        <w:t xml:space="preserve">(Student's first name, surname and ID number)</w:t>
      </w:r>
    </w:p>
    <w:p>
      <w:pPr>
        <w:spacing w:after="200"/>
        <w:jc w:val="center"/>
      </w:pPr>
      <w:r>
        <w:rPr>
          <w:rFonts w:ascii="Arial" w:cs="Arial" w:eastAsia="Arial" w:hAnsi="Arial"/>
          <w:b/>
          <w:bCs/>
          <w:sz w:val="28"/>
          <w:szCs w:val="28"/>
        </w:rPr>
        <w:t xml:space="preserve">PROFESSIONAL INTERNSHIP REPORT</w:t>
      </w:r>
    </w:p>
    <w:p>
      <w:pPr>
        <w:spacing w:after="320"/>
      </w:pPr>
      <w:r>
        <w:rPr>
          <w:rFonts w:ascii="Arial" w:cs="Arial" w:eastAsia="Arial" w:hAnsi="Arial"/>
          <w:sz w:val="24"/>
          <w:szCs w:val="24"/>
        </w:rPr>
        <w:t xml:space="preserve">Academic terms: </w:t>
      </w:r>
      <w:r>
        <w:rPr>
          <w:rFonts w:ascii="Arial" w:cs="Arial" w:eastAsia="Arial" w:hAnsi="Arial"/>
          <w:b/>
          <w:bCs/>
          <w:sz w:val="24"/>
          <w:szCs w:val="24"/>
        </w:rPr>
        <w:t xml:space="preserve">2025/2026</w:t>
      </w:r>
    </w:p>
    <w:p>
      <w:pPr>
        <w:spacing w:after="120"/>
      </w:pPr>
      <w:r>
        <w:rPr>
          <w:rFonts w:ascii="Arial" w:cs="Arial" w:eastAsia="Arial" w:hAnsi="Arial"/>
          <w:b/>
          <w:bCs/>
          <w:sz w:val="24"/>
          <w:szCs w:val="24"/>
        </w:rPr>
        <w:t xml:space="preserve">Worksite description</w:t>
      </w:r>
    </w:p>
    <w:p>
      <w:pPr>
        <w:spacing w:after="100"/>
      </w:pPr>
      <w:r>
        <w:rPr>
          <w:rFonts w:ascii="Arial" w:cs="Arial" w:eastAsia="Arial" w:hAnsi="Arial"/>
          <w:sz w:val="24"/>
          <w:szCs w:val="24"/>
        </w:rPr>
        <w:t xml:space="preserve">Name of company/institution: </w:t>
      </w:r>
      <w:r>
        <w:rPr>
          <w:rFonts w:ascii="Arial" w:cs="Arial" w:eastAsia="Arial" w:hAnsi="Arial"/>
          <w:b/>
          <w:bCs/>
          <w:sz w:val="24"/>
          <w:szCs w:val="24"/>
        </w:rPr>
        <w:t xml:space="preserve">Standard Chartered Bank GBS Poland Sp. z o.o.</w:t>
      </w:r>
    </w:p>
    <w:p>
      <w:pPr>
        <w:spacing w:after="100"/>
      </w:pPr>
      <w:r>
        <w:rPr>
          <w:rFonts w:ascii="Arial" w:cs="Arial" w:eastAsia="Arial" w:hAnsi="Arial"/>
          <w:sz w:val="24"/>
          <w:szCs w:val="24"/>
        </w:rPr>
        <w:t xml:space="preserve">Address of company/institution: </w:t>
      </w:r>
      <w:r>
        <w:rPr>
          <w:rFonts w:ascii="Arial" w:cs="Arial" w:eastAsia="Arial" w:hAnsi="Arial"/>
          <w:b/>
          <w:bCs/>
          <w:sz w:val="24"/>
          <w:szCs w:val="24"/>
        </w:rPr>
        <w:t xml:space="preserve">al. Jana Pawła II 29, 00-867 Warsaw, Poland</w:t>
      </w:r>
    </w:p>
    <w:p>
      <w:pPr>
        <w:spacing w:after="400"/>
      </w:pPr>
      <w:r>
        <w:rPr>
          <w:rFonts w:ascii="Arial" w:cs="Arial" w:eastAsia="Arial" w:hAnsi="Arial"/>
          <w:sz w:val="24"/>
          <w:szCs w:val="24"/>
        </w:rPr>
        <w:t xml:space="preserve">Internship duration: from </w:t>
      </w:r>
      <w:r>
        <w:rPr>
          <w:rFonts w:ascii="Arial" w:cs="Arial" w:eastAsia="Arial" w:hAnsi="Arial"/>
          <w:b/>
          <w:bCs/>
          <w:sz w:val="24"/>
          <w:szCs w:val="24"/>
        </w:rPr>
        <w:t xml:space="preserve">01.01.2026</w:t>
      </w:r>
      <w:r>
        <w:rPr>
          <w:rFonts w:ascii="Arial" w:cs="Arial" w:eastAsia="Arial" w:hAnsi="Arial"/>
          <w:sz w:val="24"/>
          <w:szCs w:val="24"/>
        </w:rPr>
        <w:t xml:space="preserve"> to </w:t>
      </w:r>
      <w:r>
        <w:rPr>
          <w:rFonts w:ascii="Arial" w:cs="Arial" w:eastAsia="Arial" w:hAnsi="Arial"/>
          <w:b/>
          <w:bCs/>
          <w:sz w:val="24"/>
          <w:szCs w:val="24"/>
        </w:rPr>
        <w:t xml:space="preserve">30.06.2026</w:t>
      </w:r>
      <w:r>
        <w:rPr>
          <w:rFonts w:ascii="Arial" w:cs="Arial" w:eastAsia="Arial" w:hAnsi="Arial"/>
          <w:sz w:val="24"/>
          <w:szCs w:val="24"/>
        </w:rPr>
        <w:t xml:space="preserve">     Number of hours: </w:t>
      </w:r>
      <w:r>
        <w:rPr>
          <w:rFonts w:ascii="Arial" w:cs="Arial" w:eastAsia="Arial" w:hAnsi="Arial"/>
          <w:b/>
          <w:bCs/>
          <w:sz w:val="24"/>
          <w:szCs w:val="24"/>
        </w:rPr>
        <w:t xml:space="preserve">360</w:t>
      </w:r>
    </w:p>
    <w:p>
      <w:pPr>
        <w:spacing w:after="160"/>
      </w:pPr>
      <w:r>
        <w:rPr>
          <w:rFonts w:ascii="Arial" w:cs="Arial" w:eastAsia="Arial" w:hAnsi="Arial"/>
          <w:b/>
          <w:bCs/>
          <w:sz w:val="24"/>
          <w:szCs w:val="24"/>
        </w:rPr>
        <w:t xml:space="preserve">1.  Company/institution overview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999999" w:sz="1"/>
              <w:left w:val="single" w:color="999999" w:sz="1"/>
              <w:bottom w:val="single" w:color="999999" w:sz="1"/>
              <w:right w:val="single" w:color="999999" w:sz="1"/>
            </w:tcBorders>
            <w:tcMar>
              <w:top w:type="dxa" w:w="140"/>
              <w:left w:type="dxa" w:w="180"/>
              <w:bottom w:type="dxa" w:w="140"/>
              <w:right w:type="dxa" w:w="180"/>
            </w:tcMar>
          </w:tcPr>
          <w:p>
            <w:pPr>
              <w:spacing w:after="140"/>
            </w:pPr>
            <w:r>
              <w:rPr>
                <w:rFonts w:ascii="Arial" w:cs="Arial" w:eastAsia="Arial" w:hAnsi="Arial"/>
                <w:sz w:val="24"/>
                <w:szCs w:val="24"/>
              </w:rPr>
              <w:t xml:space="preserve">Standard Chartered Bank (SCB) is a leading international banking group operating in more than 50 markets across Asia, Africa, the Middle East and Europe. The bank provides a broad range of financial services including retail banking, corporate and institutional banking, commercial banking, treasury and financial markets, and transaction banking. Its global headquarters are in London, and operations are structured around three main client segments: Consumer, Private and Business Banking; Corporate, Commercial and Institutional Banking; and Ventures.</w:t>
            </w:r>
          </w:p>
          <w:p>
            <w:pPr>
              <w:spacing w:after="140"/>
            </w:pPr>
            <w:r>
              <w:rPr>
                <w:rFonts w:ascii="Arial" w:cs="Arial" w:eastAsia="Arial" w:hAnsi="Arial"/>
                <w:sz w:val="24"/>
                <w:szCs w:val="24"/>
              </w:rPr>
              <w:t xml:space="preserve">Standard Chartered Bank GBS Poland Sp. z o.o. in Warsaw is one of the bank's Global Business Services centres, focused on technology delivery, risk analytics, financial operations and regulatory programmes. The Warsaw centre operates within a matrix organisational structure: employees report both to local functional managers and to global business or technology owners. Teams are organised by domain — for example, Market Risk Technology, Credit Risk Analytics and Financial Markets Technology — each with defined leadership layers.</w:t>
            </w:r>
          </w:p>
          <w:p>
            <w:pPr>
              <w:spacing w:after="0"/>
            </w:pPr>
            <w:r>
              <w:rPr>
                <w:rFonts w:ascii="Arial" w:cs="Arial" w:eastAsia="Arial" w:hAnsi="Arial"/>
                <w:sz w:val="24"/>
                <w:szCs w:val="24"/>
              </w:rPr>
              <w:t xml:space="preserve">The bank places a strong strategic emphasis on digital transformation, cloud adoption and data-driven decision-making. It operates several proprietary platforms including SABRE (a risk and pricing engine), Cortex (a functional scripting and analytics environment), Aspire (a sub-ledger system) and Murex (a third-party trading and treasury platform). The bank competes globally with institutions such as HSBC, Citibank, Deutsche Bank and BNP Paribas in the international corporate and institutional banking space.</w:t>
            </w:r>
          </w:p>
        </w:tc>
      </w:tr>
    </w:tbl>
    <w:p>
      <w:pPr>
        <w:spacing w:after="80"/>
      </w:pPr>
      <w:r>
        <w:rPr>
          <w:rFonts w:ascii="Arial" w:cs="Arial" w:eastAsia="Arial" w:hAnsi="Arial"/>
          <w:sz w:val="24"/>
          <w:szCs w:val="24"/>
        </w:rPr>
        <w:t xml:space="preserve"/>
      </w:r>
    </w:p>
    <w:p>
      <w:pPr>
        <w:spacing w:after="160"/>
      </w:pPr>
      <w:r>
        <w:rPr>
          <w:rFonts w:ascii="Arial" w:cs="Arial" w:eastAsia="Arial" w:hAnsi="Arial"/>
          <w:b/>
          <w:bCs/>
          <w:sz w:val="24"/>
          <w:szCs w:val="24"/>
        </w:rPr>
        <w:t xml:space="preserve">2.  Description of internship department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999999" w:sz="1"/>
              <w:left w:val="single" w:color="999999" w:sz="1"/>
              <w:bottom w:val="single" w:color="999999" w:sz="1"/>
              <w:right w:val="single" w:color="999999" w:sz="1"/>
            </w:tcBorders>
            <w:tcMar>
              <w:top w:type="dxa" w:w="140"/>
              <w:left w:type="dxa" w:w="180"/>
              <w:bottom w:type="dxa" w:w="140"/>
              <w:right w:type="dxa" w:w="180"/>
            </w:tcMar>
          </w:tcPr>
          <w:p>
            <w:pPr>
              <w:spacing w:after="140"/>
            </w:pPr>
            <w:r>
              <w:rPr>
                <w:rFonts w:ascii="Arial" w:cs="Arial" w:eastAsia="Arial" w:hAnsi="Arial"/>
                <w:sz w:val="24"/>
                <w:szCs w:val="24"/>
              </w:rPr>
              <w:t xml:space="preserve">The internship was undertaken within the Financial Markets Risk Technology and Analytics department at Standard Chartered Bank GBS Poland. The department is responsible for the design, delivery and ongoing governance of quantitative risk and pricing models, regulatory compliance frameworks and technology migration programmes supporting the bank's financial markets and credit risk functions globally.</w:t>
            </w:r>
          </w:p>
          <w:p>
            <w:pPr>
              <w:spacing w:after="140"/>
            </w:pPr>
            <w:r>
              <w:rPr>
                <w:rFonts w:ascii="Arial" w:cs="Arial" w:eastAsia="Arial" w:hAnsi="Arial"/>
                <w:sz w:val="24"/>
                <w:szCs w:val="24"/>
              </w:rPr>
              <w:t xml:space="preserve">The department operates at the intersection of quantitative finance, regulatory technology and software delivery. Its core activities include development and validation of pricing models for derivatives and execution of strategic system migration programmes, notably the SABRE AMCST programme.</w:t>
            </w:r>
          </w:p>
          <w:p>
            <w:pPr>
              <w:spacing w:after="0"/>
            </w:pPr>
            <w:r>
              <w:rPr>
                <w:rFonts w:ascii="Arial" w:cs="Arial" w:eastAsia="Arial" w:hAnsi="Arial"/>
                <w:sz w:val="24"/>
                <w:szCs w:val="24"/>
              </w:rPr>
              <w:t xml:space="preserve">The team works in close collaboration with quantitative analysts, software engineers, system architects, operations teams and senior business stakeholders. Project delivery follows Agile methodologies with structured governance through working group meetings and steering committees. Key tools include SABRE/Cortex, Murex, Aspire, Jira, Confluence, Python and SQL.</w:t>
            </w:r>
          </w:p>
        </w:tc>
      </w:tr>
    </w:tbl>
    <w:p>
      <w:pPr>
        <w:spacing w:after="80"/>
      </w:pPr>
      <w:r>
        <w:rPr>
          <w:rFonts w:ascii="Arial" w:cs="Arial" w:eastAsia="Arial" w:hAnsi="Arial"/>
          <w:sz w:val="24"/>
          <w:szCs w:val="24"/>
        </w:rPr>
        <w:t xml:space="preserve"/>
      </w:r>
    </w:p>
    <w:p>
      <w:pPr>
        <w:spacing w:after="160"/>
      </w:pPr>
      <w:r>
        <w:rPr>
          <w:rFonts w:ascii="Arial" w:cs="Arial" w:eastAsia="Arial" w:hAnsi="Arial"/>
          <w:b/>
          <w:bCs/>
          <w:sz w:val="24"/>
          <w:szCs w:val="24"/>
        </w:rPr>
        <w:t xml:space="preserve">3.  Position and description of duties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999999" w:sz="1"/>
              <w:left w:val="single" w:color="999999" w:sz="1"/>
              <w:bottom w:val="single" w:color="999999" w:sz="1"/>
              <w:right w:val="single" w:color="999999" w:sz="1"/>
            </w:tcBorders>
            <w:tcMar>
              <w:top w:type="dxa" w:w="140"/>
              <w:left w:type="dxa" w:w="180"/>
              <w:bottom w:type="dxa" w:w="140"/>
              <w:right w:type="dxa" w:w="180"/>
            </w:tcMar>
          </w:tcPr>
          <w:p>
            <w:pPr>
              <w:spacing w:after="140"/>
            </w:pPr>
            <w:r>
              <w:rPr>
                <w:rFonts w:ascii="Arial" w:cs="Arial" w:eastAsia="Arial" w:hAnsi="Arial"/>
                <w:b/>
                <w:bCs/>
                <w:sz w:val="24"/>
                <w:szCs w:val="24"/>
              </w:rPr>
              <w:t xml:space="preserve">Job title: Business Analyst</w:t>
            </w:r>
          </w:p>
          <w:p>
            <w:pPr>
              <w:spacing w:after="140"/>
            </w:pPr>
            <w:r>
              <w:rPr>
                <w:rFonts w:ascii="Arial" w:cs="Arial" w:eastAsia="Arial" w:hAnsi="Arial"/>
                <w:sz w:val="24"/>
                <w:szCs w:val="24"/>
              </w:rPr>
              <w:t xml:space="preserve">As a Business Analyst within the Financial Markets Risk Technology and Analytics team, the primary responsibilities centred on bridging the gap between business domain knowledge and technology delivery, requiring both analytical work and cross-functional collaboration.</w:t>
            </w:r>
          </w:p>
          <w:p>
            <w:pPr>
              <w:spacing w:after="100"/>
            </w:pPr>
            <w:r>
              <w:rPr>
                <w:rFonts w:ascii="Arial" w:cs="Arial" w:eastAsia="Arial" w:hAnsi="Arial"/>
                <w:sz w:val="24"/>
                <w:szCs w:val="24"/>
              </w:rPr>
              <w:t xml:space="preserve">Key duties and projects:</w:t>
            </w:r>
          </w:p>
          <w:p>
            <w:pPr>
              <w:pStyle w:val="ListParagraph"/>
              <w:numPr>
                <w:ilvl w:val="0"/>
                <w:numId w:val="2"/>
              </w:numPr>
              <w:spacing w:after="100"/>
            </w:pPr>
            <w:r>
              <w:rPr>
                <w:rFonts w:ascii="Arial" w:cs="Arial" w:eastAsia="Arial" w:hAnsi="Arial"/>
                <w:sz w:val="24"/>
                <w:szCs w:val="24"/>
              </w:rPr>
              <w:t xml:space="preserve">Requirements Analysis: Gathered, analysed and documented business and technical requirements for banking technology systems and regulatory programmes, and translated business requirements into functional specifications and user stories for software development and system enhancement projects.</w:t>
            </w:r>
          </w:p>
          <w:p>
            <w:pPr>
              <w:pStyle w:val="ListParagraph"/>
              <w:numPr>
                <w:ilvl w:val="0"/>
                <w:numId w:val="2"/>
              </w:numPr>
              <w:spacing w:after="100"/>
            </w:pPr>
            <w:r>
              <w:rPr>
                <w:rFonts w:ascii="Arial" w:cs="Arial" w:eastAsia="Arial" w:hAnsi="Arial"/>
                <w:sz w:val="24"/>
                <w:szCs w:val="24"/>
              </w:rPr>
              <w:t xml:space="preserve">SABRE AMCST Migration Programme: Supported the SABRE AMCST migration programme, coordinating the migration of 339 credit portfolios across eight business units from legacy systems to the SABRE platform, including reconciliation of accrual and fair value outputs between source and target systems.</w:t>
            </w:r>
          </w:p>
          <w:p>
            <w:pPr>
              <w:pStyle w:val="ListParagraph"/>
              <w:numPr>
                <w:ilvl w:val="0"/>
                <w:numId w:val="2"/>
              </w:numPr>
              <w:spacing w:after="100"/>
            </w:pPr>
            <w:r>
              <w:rPr>
                <w:rFonts w:ascii="Arial" w:cs="Arial" w:eastAsia="Arial" w:hAnsi="Arial"/>
                <w:sz w:val="24"/>
                <w:szCs w:val="24"/>
              </w:rPr>
              <w:t xml:space="preserve">Data Analysis and Reconciliation: Performed data analysis, reconciliation and validation of financial data — including NPV, PV and accrual calculations across multi-currency derivative portfolios — and applied Python and SQL to automate reporting, extract data and validate migration outputs.</w:t>
            </w:r>
          </w:p>
          <w:p>
            <w:pPr>
              <w:pStyle w:val="ListParagraph"/>
              <w:numPr>
                <w:ilvl w:val="0"/>
                <w:numId w:val="2"/>
              </w:numPr>
              <w:spacing w:after="100"/>
            </w:pPr>
            <w:r>
              <w:rPr>
                <w:rFonts w:ascii="Arial" w:cs="Arial" w:eastAsia="Arial" w:hAnsi="Arial"/>
                <w:sz w:val="24"/>
                <w:szCs w:val="24"/>
              </w:rPr>
              <w:t xml:space="preserve">Enterprise Platforms: Worked with enterprise banking platforms including Murex, SABRE/Cortex and Aspire sub-ledger systems in the course of analysis, reconciliation and testing activities.</w:t>
            </w:r>
          </w:p>
          <w:p>
            <w:pPr>
              <w:pStyle w:val="ListParagraph"/>
              <w:numPr>
                <w:ilvl w:val="0"/>
                <w:numId w:val="2"/>
              </w:numPr>
              <w:spacing w:after="100"/>
            </w:pPr>
            <w:r>
              <w:rPr>
                <w:rFonts w:ascii="Arial" w:cs="Arial" w:eastAsia="Arial" w:hAnsi="Arial"/>
                <w:sz w:val="24"/>
                <w:szCs w:val="24"/>
              </w:rPr>
              <w:t xml:space="preserve">Collaboration and Agile Delivery: Collaborated with software engineers, system architects, QA teams, finance stakeholders and project managers within Agile delivery frameworks, contributing to sprint planning, backlog refinement and the creation of user stories using Jira and Confluence.</w:t>
            </w:r>
          </w:p>
          <w:p>
            <w:pPr>
              <w:pStyle w:val="ListParagraph"/>
              <w:numPr>
                <w:ilvl w:val="0"/>
                <w:numId w:val="2"/>
              </w:numPr>
              <w:spacing w:after="100"/>
            </w:pPr>
            <w:r>
              <w:rPr>
                <w:rFonts w:ascii="Arial" w:cs="Arial" w:eastAsia="Arial" w:hAnsi="Arial"/>
                <w:sz w:val="24"/>
                <w:szCs w:val="24"/>
              </w:rPr>
              <w:t xml:space="preserve">Testing and UAT Support: Supported system testing, defect analysis and user acceptance testing for technology deliverables, including validation of calculation outputs against expected results.</w:t>
            </w:r>
          </w:p>
          <w:p>
            <w:pPr>
              <w:pStyle w:val="ListParagraph"/>
              <w:numPr>
                <w:ilvl w:val="0"/>
                <w:numId w:val="2"/>
              </w:numPr>
              <w:spacing w:after="100"/>
            </w:pPr>
            <w:r>
              <w:rPr>
                <w:rFonts w:ascii="Arial" w:cs="Arial" w:eastAsia="Arial" w:hAnsi="Arial"/>
                <w:sz w:val="24"/>
                <w:szCs w:val="24"/>
              </w:rPr>
              <w:t xml:space="preserve">Documentation: Created and maintained technical and functional documentation including business requirements documents, process flows and working group minutes.</w:t>
            </w:r>
          </w:p>
          <w:p>
            <w:pPr>
              <w:pStyle w:val="ListParagraph"/>
              <w:numPr>
                <w:ilvl w:val="0"/>
                <w:numId w:val="2"/>
              </w:numPr>
              <w:spacing w:after="100"/>
            </w:pPr>
            <w:r>
              <w:rPr>
                <w:rFonts w:ascii="Arial" w:cs="Arial" w:eastAsia="Arial" w:hAnsi="Arial"/>
                <w:sz w:val="24"/>
                <w:szCs w:val="24"/>
              </w:rPr>
              <w:t xml:space="preserve">Governance and Stakeholder Engagement: Participated in governance meetings and stakeholder sessions, preparing materials and tracking follow-up actions.</w:t>
            </w:r>
          </w:p>
        </w:tc>
      </w:tr>
    </w:tbl>
    <w:p>
      <w:pPr>
        <w:spacing w:after="80"/>
      </w:pPr>
      <w:r>
        <w:rPr>
          <w:rFonts w:ascii="Arial" w:cs="Arial" w:eastAsia="Arial" w:hAnsi="Arial"/>
          <w:sz w:val="24"/>
          <w:szCs w:val="24"/>
        </w:rPr>
        <w:t xml:space="preserve"/>
      </w:r>
    </w:p>
    <w:p>
      <w:pPr>
        <w:spacing w:after="160"/>
      </w:pPr>
      <w:r>
        <w:rPr>
          <w:rFonts w:ascii="Arial" w:cs="Arial" w:eastAsia="Arial" w:hAnsi="Arial"/>
          <w:b/>
          <w:bCs/>
          <w:sz w:val="24"/>
          <w:szCs w:val="24"/>
        </w:rPr>
        <w:t xml:space="preserve">4.  Conclusions and summary of the internship – analysis of the learning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999999" w:sz="1"/>
              <w:left w:val="single" w:color="999999" w:sz="1"/>
              <w:bottom w:val="single" w:color="999999" w:sz="1"/>
              <w:right w:val="single" w:color="999999" w:sz="1"/>
            </w:tcBorders>
            <w:tcMar>
              <w:top w:type="dxa" w:w="140"/>
              <w:left w:type="dxa" w:w="180"/>
              <w:bottom w:type="dxa" w:w="140"/>
              <w:right w:type="dxa" w:w="180"/>
            </w:tcMar>
          </w:tcPr>
          <w:p>
            <w:pPr>
              <w:spacing w:after="140"/>
            </w:pPr>
            <w:r>
              <w:rPr>
                <w:rFonts w:ascii="Arial" w:cs="Arial" w:eastAsia="Arial" w:hAnsi="Arial"/>
                <w:sz w:val="24"/>
                <w:szCs w:val="24"/>
              </w:rPr>
              <w:t xml:space="preserve">The professional internship at Standard Chartered Bank GBS Poland provided an intensive and highly practical experience at the intersection of computer science, data engineering and quantitative finance. Working within a technology and analytics team responsible for regulatory programmes and large-scale system migrations allowed for direct application of knowledge acquired during the MSc in Cloud Computing programme, particularly in the areas of data modelling, systems analysis, database management and IT systems administration.</w:t>
            </w:r>
          </w:p>
          <w:p>
            <w:pPr>
              <w:spacing w:after="140"/>
            </w:pPr>
            <w:r>
              <w:rPr>
                <w:rFonts w:ascii="Arial" w:cs="Arial" w:eastAsia="Arial" w:hAnsi="Arial"/>
                <w:sz w:val="24"/>
                <w:szCs w:val="24"/>
              </w:rPr>
              <w:t xml:space="preserve">In terms of technical knowledge, the internship deepened practical understanding of enterprise data processing pipelines, large-scale system migration architecture and the integration challenges between heterogeneous financial platforms. Working with Python for data extraction, transformation and validation — and with SQL for querying structured financial datasets — reinforced programming skills in real production contexts. Exposure to the SABRE/Cortex functional scripting environment provided experience with a specialised domain-specific language used in risk analytics, developing the ability to reason about type systems, data structures and computational correctness in a high-stakes environment.</w:t>
            </w:r>
          </w:p>
          <w:p>
            <w:pPr>
              <w:spacing w:after="140"/>
            </w:pPr>
            <w:r>
              <w:rPr>
                <w:rFonts w:ascii="Arial" w:cs="Arial" w:eastAsia="Arial" w:hAnsi="Arial"/>
                <w:sz w:val="24"/>
                <w:szCs w:val="24"/>
              </w:rPr>
              <w:t xml:space="preserve">The internship also developed significant capability in working independently and as part of distributed, cross-functional teams. Contributing to a weekly working group with participants from eight business units required the ability to plan, communicate clearly and manage complex stakeholder expectations — skills directly relevant to IT project management and systems delivery roles.</w:t>
            </w:r>
          </w:p>
          <w:p>
            <w:pPr>
              <w:spacing w:after="140"/>
            </w:pPr>
            <w:r>
              <w:rPr>
                <w:rFonts w:ascii="Arial" w:cs="Arial" w:eastAsia="Arial" w:hAnsi="Arial"/>
                <w:sz w:val="24"/>
                <w:szCs w:val="24"/>
              </w:rPr>
              <w:t xml:space="preserve">A key challenge encountered during the internship was reconciling outputs between two complex financial systems (Murex and SABRE) that operated on different calculation methodologies. Resolving these discrepancies required combining domain knowledge with systematic data analysis, debugging of scripting logic and structured communication with quantitative model owners — reinforcing the importance of rigorous problem-solving methodology in IT systems work.</w:t>
            </w:r>
          </w:p>
          <w:p>
            <w:pPr>
              <w:spacing w:after="140"/>
            </w:pPr>
            <w:r>
              <w:rPr>
                <w:rFonts w:ascii="Arial" w:cs="Arial" w:eastAsia="Arial" w:hAnsi="Arial"/>
                <w:sz w:val="24"/>
                <w:szCs w:val="24"/>
              </w:rPr>
              <w:t xml:space="preserve">The experience of conveying technically complex concepts — such as data reconciliation and migration validation logic — to non-specialist stakeholders from operations, finance and business management developed strong communication skills relevant to any IT specialist role.</w:t>
            </w:r>
          </w:p>
          <w:p>
            <w:pPr>
              <w:spacing w:after="0"/>
            </w:pPr>
            <w:r>
              <w:rPr>
                <w:rFonts w:ascii="Arial" w:cs="Arial" w:eastAsia="Arial" w:hAnsi="Arial"/>
                <w:sz w:val="24"/>
                <w:szCs w:val="24"/>
              </w:rPr>
              <w:t xml:space="preserve">Overall, the internship substantially advanced readiness for a professional career in technology and analytics, confirmed the practical value of the MSc programme's theoretical foundations, and provided direct exposure to enterprise-scale IT system design, delivery and governance in a regulated international banking environment.</w:t>
            </w:r>
          </w:p>
        </w:tc>
      </w:tr>
    </w:tbl>
    <w:p>
      <w:pPr>
        <w:spacing w:after="80"/>
      </w:pPr>
      <w:r>
        <w:rPr>
          <w:rFonts w:ascii="Arial" w:cs="Arial" w:eastAsia="Arial" w:hAnsi="Arial"/>
          <w:sz w:val="24"/>
          <w:szCs w:val="24"/>
        </w:rPr>
        <w:t xml:space="preserve"/>
      </w:r>
    </w:p>
    <w:p>
      <w:pPr>
        <w:spacing w:after="80"/>
      </w:pPr>
      <w:r>
        <w:rPr>
          <w:rFonts w:ascii="Arial" w:cs="Arial" w:eastAsia="Arial" w:hAnsi="Arial"/>
          <w:sz w:val="24"/>
          <w:szCs w:val="24"/>
        </w:rPr>
        <w:t xml:space="preserve"/>
      </w:r>
    </w:p>
    <w:p>
      <w:pPr>
        <w:spacing w:after="160"/>
      </w:pPr>
      <w:r>
        <w:rPr>
          <w:rFonts w:ascii="Arial" w:cs="Arial" w:eastAsia="Arial" w:hAnsi="Arial"/>
          <w:sz w:val="24"/>
          <w:szCs w:val="24"/>
        </w:rPr>
        <w:t xml:space="preserve">Warsaw, 03.06.2026          ………………………………………………………………</w:t>
      </w:r>
    </w:p>
    <w:p>
      <w:pPr>
        <w:spacing w:after="160"/>
      </w:pPr>
      <w:r>
        <w:rPr>
          <w:rFonts w:ascii="Arial" w:cs="Arial" w:eastAsia="Arial" w:hAnsi="Arial"/>
          <w:i/>
          <w:iCs/>
          <w:sz w:val="20"/>
          <w:szCs w:val="20"/>
        </w:rPr>
        <w:t xml:space="preserve">                                              (date, signature)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100"/>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2026-06-09T08:23:27.398Z</dcterms:created>
  <dcterms:modified xsi:type="dcterms:W3CDTF">2026-06-09T08:23:27.398Z</dcterms:modified>
</cp:coreProperties>
</file>

<file path=docProps/custom.xml><?xml version="1.0" encoding="utf-8"?>
<Properties xmlns="http://schemas.openxmlformats.org/officeDocument/2006/custom-properties" xmlns:vt="http://schemas.openxmlformats.org/officeDocument/2006/docPropsVTypes"/>
</file>