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Breakdown – XVA / SR VAR / Batch Integration</w:t>
      </w:r>
    </w:p>
    <w:p>
      <w:r>
        <w:t>Date: July 22, 2025</w:t>
      </w:r>
    </w:p>
    <w:p>
      <w:r>
        <w:t>Prepared for: Internal Review &amp; Planning</w:t>
      </w:r>
    </w:p>
    <w:p>
      <w:pPr>
        <w:pStyle w:val="Heading1"/>
      </w:pPr>
      <w:r>
        <w:t>1. XVA Release</w:t>
      </w:r>
    </w:p>
    <w:p>
      <w:r>
        <w:t>- Technical go-live pending retesting after weekend rerun.</w:t>
        <w:br/>
        <w:t>- AP-side delays identified, being managed.</w:t>
        <w:br/>
        <w:t>- No UAT testing has been conducted yet.</w:t>
        <w:br/>
        <w:t>- Concern: timelines tight for full sign-off by end of September.</w:t>
        <w:br/>
        <w:t>- Similar process to previous migration projects (e.g., TDD, 5-day UAT, pre-run validations).</w:t>
      </w:r>
    </w:p>
    <w:p>
      <w:pPr>
        <w:pStyle w:val="Heading1"/>
      </w:pPr>
      <w:r>
        <w:t>2. SR VAR</w:t>
      </w:r>
    </w:p>
    <w:p>
      <w:r>
        <w:t>- Included in current technical release; UAT not started.</w:t>
        <w:br/>
        <w:t>- Requires full UAT cycle for TDD submission and final approval.</w:t>
        <w:br/>
        <w:t>- One open technical defect (SIMIE) blocking UAT readiness.</w:t>
        <w:br/>
        <w:t>- Timeline: 10 weeks remaining with risk of slippage.</w:t>
        <w:br/>
        <w:t>- MRA and risk testing expected in same window as UAT – no double cycles.</w:t>
      </w:r>
    </w:p>
    <w:p>
      <w:pPr>
        <w:pStyle w:val="Heading1"/>
      </w:pPr>
      <w:r>
        <w:t>3. S2BX &amp; Batch Scaling</w:t>
      </w:r>
    </w:p>
    <w:p>
      <w:r>
        <w:t>- Project status changed to AMBER.</w:t>
        <w:br/>
        <w:t>- Server hardware has arrived; additional setup required.</w:t>
        <w:br/>
        <w:t>- Jan is unavailable (on daily stress &amp; cybersecurity tasks) until Q4.</w:t>
        <w:br/>
        <w:t>- Current limit: ~90 clients onboarded; can't scale to 500+ without intraday refresh.</w:t>
        <w:br/>
        <w:t>- Request raised to Mac/Farview for more Strats/Dev resources.</w:t>
        <w:br/>
        <w:t>- Concern: delay may extend into March 2026 without intervention.</w:t>
      </w:r>
    </w:p>
    <w:p>
      <w:pPr>
        <w:pStyle w:val="Heading1"/>
      </w:pPr>
      <w:r>
        <w:t>4. AC &amp; MDS Data Integrity</w:t>
      </w:r>
    </w:p>
    <w:p>
      <w:r>
        <w:t>- Known data issue for counterparties with both head office and branch.</w:t>
        <w:br/>
        <w:t>- Fix expected in early August release.</w:t>
        <w:br/>
        <w:t>- Required for UAT sign-off and TDD validation.</w:t>
        <w:br/>
        <w:t>- Risk if not absorbed before UAT pre-runs start.</w:t>
      </w:r>
    </w:p>
    <w:p>
      <w:pPr>
        <w:pStyle w:val="Heading1"/>
      </w:pPr>
      <w:r>
        <w:t>5. Inflation Scenario Readiness</w:t>
      </w:r>
    </w:p>
    <w:p>
      <w:r>
        <w:t>- MRP 4.39.0 delayed until August 16.</w:t>
        <w:br/>
        <w:t>- Manual adjustment will be required if inflation trades occur before then.</w:t>
        <w:br/>
        <w:t>- Agreement reached to proceed with release, using operational workaround.</w:t>
        <w:br/>
        <w:t>- Manual process yet to be assigned clearly (possibly MRO team).</w:t>
      </w:r>
    </w:p>
    <w:p>
      <w:pPr>
        <w:pStyle w:val="Heading1"/>
      </w:pPr>
      <w:r>
        <w:t>6. Other Technical Streams</w:t>
      </w:r>
    </w:p>
    <w:p>
      <w:r>
        <w:t>- ECS onboarding through MDS fully operational.</w:t>
        <w:br/>
        <w:t>- TWAD fully ready in UAT; production blocked by Saber dependency.</w:t>
        <w:br/>
        <w:t>- FRTP release complete; no further changes expected unless reopened.</w:t>
        <w:br/>
        <w:t>- Legal API: repo curve mapping in final testing phase with desk.</w:t>
      </w:r>
    </w:p>
    <w:p>
      <w:pPr>
        <w:pStyle w:val="Heading1"/>
      </w:pPr>
      <w:r>
        <w:t>7. Key Risks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 / Owner</w:t>
            </w:r>
          </w:p>
        </w:tc>
      </w:tr>
      <w:tr>
        <w:tc>
          <w:tcPr>
            <w:tcW w:type="dxa" w:w="2880"/>
          </w:tcPr>
          <w:p>
            <w:r>
              <w:t>Compressed UAT timeline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Review and revise testing plan urgently</w:t>
            </w:r>
          </w:p>
        </w:tc>
      </w:tr>
      <w:tr>
        <w:tc>
          <w:tcPr>
            <w:tcW w:type="dxa" w:w="2880"/>
          </w:tcPr>
          <w:p>
            <w:r>
              <w:t>Unresolved SIMIE patch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Track resolution before UAT window opens</w:t>
            </w:r>
          </w:p>
        </w:tc>
      </w:tr>
      <w:tr>
        <w:tc>
          <w:tcPr>
            <w:tcW w:type="dxa" w:w="2880"/>
          </w:tcPr>
          <w:p>
            <w:r>
              <w:t>Jan’s unavailability in Q3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Request resourcing from Mac/Farview</w:t>
            </w:r>
          </w:p>
        </w:tc>
      </w:tr>
      <w:tr>
        <w:tc>
          <w:tcPr>
            <w:tcW w:type="dxa" w:w="2880"/>
          </w:tcPr>
          <w:p>
            <w:r>
              <w:t>Inflation scenario patch delay</w:t>
            </w:r>
          </w:p>
        </w:tc>
        <w:tc>
          <w:tcPr>
            <w:tcW w:type="dxa" w:w="2880"/>
          </w:tcPr>
          <w:p>
            <w:r>
              <w:t>Operational</w:t>
            </w:r>
          </w:p>
        </w:tc>
        <w:tc>
          <w:tcPr>
            <w:tcW w:type="dxa" w:w="2880"/>
          </w:tcPr>
          <w:p>
            <w:r>
              <w:t>Assign MRO to manage temporary fix</w:t>
            </w:r>
          </w:p>
        </w:tc>
      </w:tr>
      <w:tr>
        <w:tc>
          <w:tcPr>
            <w:tcW w:type="dxa" w:w="2880"/>
          </w:tcPr>
          <w:p>
            <w:r>
              <w:t>Communication gaps on S2BX</w:t>
            </w:r>
          </w:p>
        </w:tc>
        <w:tc>
          <w:tcPr>
            <w:tcW w:type="dxa" w:w="2880"/>
          </w:tcPr>
          <w:p>
            <w:r>
              <w:t>Reputation/Planning</w:t>
            </w:r>
          </w:p>
        </w:tc>
        <w:tc>
          <w:tcPr>
            <w:tcW w:type="dxa" w:w="2880"/>
          </w:tcPr>
          <w:p>
            <w:r>
              <w:t>Update status dashboards accurately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