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Meeting Minutes</w:t>
      </w:r>
    </w:p>
    <w:p>
      <w:r>
        <w:t>Date: [Insert Date]</w:t>
      </w:r>
    </w:p>
    <w:p>
      <w:r>
        <w:t>Facilitator: Sven</w:t>
      </w:r>
    </w:p>
    <w:p>
      <w:r>
        <w:t>Attendees: Sven, Alvin, Sam, Arnold, David, Mingyu, Filippo, Roy, Rupal, Hemal, Jürgen, Sean (absent), Joe, Venmin, Wellman (to be contacted), others</w:t>
      </w:r>
    </w:p>
    <w:p>
      <w:pPr>
        <w:pStyle w:val="Heading2"/>
      </w:pPr>
      <w:r>
        <w:t>1. XVA Status</w:t>
      </w:r>
    </w:p>
    <w:p>
      <w:pPr>
        <w:pStyle w:val="ListBullet"/>
      </w:pPr>
      <w:r>
        <w:t>Status is currently Amber. Progress is steady and trending toward Green.</w:t>
      </w:r>
    </w:p>
    <w:p>
      <w:pPr>
        <w:pStyle w:val="ListBullet"/>
      </w:pPr>
      <w:r>
        <w:t>Recent discussion with GMV indicated only implementation verification is needed. Full revalidation is not required.</w:t>
      </w:r>
    </w:p>
    <w:p>
      <w:pPr>
        <w:pStyle w:val="ListBullet"/>
      </w:pPr>
      <w:r>
        <w:t>A follow-up session with GMV and MIA is expected in two weeks. The purpose is to confirm validation milestones.</w:t>
      </w:r>
    </w:p>
    <w:p>
      <w:pPr>
        <w:pStyle w:val="ListBullet"/>
      </w:pPr>
      <w:r>
        <w:t>Green status will be granted if GMV confirms validation will occur before the end of 2025.</w:t>
      </w:r>
    </w:p>
    <w:p>
      <w:pPr>
        <w:pStyle w:val="ListBullet"/>
      </w:pPr>
      <w:r>
        <w:t>If GMV indicates that validation can only be done in Q1 2026 or later, status remains Amber or could turn Red.</w:t>
      </w:r>
    </w:p>
    <w:p>
      <w:pPr>
        <w:pStyle w:val="ListBullet"/>
      </w:pPr>
      <w:r>
        <w:t>This decision directly impacts VAST2 Decom. VAST2 infrastructure must stay operational until validation is complete.</w:t>
      </w:r>
    </w:p>
    <w:p>
      <w:pPr>
        <w:pStyle w:val="Heading2"/>
      </w:pPr>
      <w:r>
        <w:t>2. VAST2 Decom / Sabre Migration</w:t>
      </w:r>
    </w:p>
    <w:p>
      <w:pPr>
        <w:pStyle w:val="ListBullet"/>
      </w:pPr>
      <w:r>
        <w:t>Project work is targeted to be completed within 2025. However, residual tasks like server de-tagging will continue into 2026.</w:t>
      </w:r>
    </w:p>
    <w:p>
      <w:pPr>
        <w:pStyle w:val="ListBullet"/>
      </w:pPr>
      <w:r>
        <w:t>There will be no KTLO budget available in 2026, so the bulk of project activities must finish this year.</w:t>
      </w:r>
    </w:p>
    <w:p>
      <w:pPr>
        <w:pStyle w:val="ListBullet"/>
      </w:pPr>
      <w:r>
        <w:t>Deliverables include infrastructure setup, model integration, and batch processing capability.</w:t>
      </w:r>
    </w:p>
    <w:p>
      <w:pPr>
        <w:pStyle w:val="ListBullet"/>
      </w:pPr>
      <w:r>
        <w:t>After delivery, TM will determine business go-live timing independently.</w:t>
      </w:r>
    </w:p>
    <w:p>
      <w:pPr>
        <w:pStyle w:val="ListBullet"/>
      </w:pPr>
      <w:r>
        <w:t>GMV’s final validation is required before VAST2 can be officially shut down.</w:t>
      </w:r>
    </w:p>
    <w:p>
      <w:pPr>
        <w:pStyle w:val="Heading2"/>
      </w:pPr>
      <w:r>
        <w:t>3. SRVAR Validation</w:t>
      </w:r>
    </w:p>
    <w:p>
      <w:pPr>
        <w:pStyle w:val="ListBullet"/>
      </w:pPr>
      <w:r>
        <w:t>Validation scope is limited to confirming implementation correctness. No need for full revalidation.</w:t>
      </w:r>
    </w:p>
    <w:p>
      <w:pPr>
        <w:pStyle w:val="ListBullet"/>
      </w:pPr>
      <w:r>
        <w:t>Venmin is leading the validation process. Sven retains overall plan ownership.</w:t>
      </w:r>
    </w:p>
    <w:p>
      <w:pPr>
        <w:pStyle w:val="ListBullet"/>
      </w:pPr>
      <w:r>
        <w:t>Key task is mapping Sabre calculations to XVA infrastructure, with focus on credit augmentation.</w:t>
      </w:r>
    </w:p>
    <w:p>
      <w:pPr>
        <w:pStyle w:val="ListBullet"/>
      </w:pPr>
      <w:r>
        <w:t>Filippo must be included in discussions for market risk considerations.</w:t>
      </w:r>
    </w:p>
    <w:p>
      <w:pPr>
        <w:pStyle w:val="ListBullet"/>
      </w:pPr>
      <w:r>
        <w:t>Sean has requested this component be included in the TDD used for the broader assessment.</w:t>
      </w:r>
    </w:p>
    <w:p>
      <w:pPr>
        <w:pStyle w:val="Heading2"/>
      </w:pPr>
      <w:r>
        <w:t>4. MDS Enhancements and System Bifurcation Risk</w:t>
      </w:r>
    </w:p>
    <w:p>
      <w:pPr>
        <w:pStyle w:val="ListBullet"/>
      </w:pPr>
      <w:r>
        <w:t>XVA is currently testing MDS data improvements independently.</w:t>
      </w:r>
    </w:p>
    <w:p>
      <w:pPr>
        <w:pStyle w:val="ListBullet"/>
      </w:pPr>
      <w:r>
        <w:t>Other systems such as MRP, SCCR, and Codex Live have not yet aligned to this transition.</w:t>
      </w:r>
    </w:p>
    <w:p>
      <w:pPr>
        <w:pStyle w:val="ListBullet"/>
      </w:pPr>
      <w:r>
        <w:t>Hemal and Jürgen are leading incremental testing and validation across these systems.</w:t>
      </w:r>
    </w:p>
    <w:p>
      <w:pPr>
        <w:pStyle w:val="ListBullet"/>
      </w:pPr>
      <w:r>
        <w:t>BAU methodology is being used, but at a larger scale (thousands of updates instead of dozens).</w:t>
      </w:r>
    </w:p>
    <w:p>
      <w:pPr>
        <w:pStyle w:val="ListBullet"/>
      </w:pPr>
      <w:r>
        <w:t>Key risk: prolonged bifurcation unless all systems adopt the enhanced MDS structure in sync.</w:t>
      </w:r>
    </w:p>
    <w:p>
      <w:pPr>
        <w:pStyle w:val="Heading2"/>
      </w:pPr>
      <w:r>
        <w:t>5. Daily Stress Testing for XVA</w:t>
      </w:r>
    </w:p>
    <w:p>
      <w:pPr>
        <w:pStyle w:val="ListBullet"/>
      </w:pPr>
      <w:r>
        <w:t>Commitment was made to Sadia to complete daily stress testing by end of 2025.</w:t>
      </w:r>
    </w:p>
    <w:p>
      <w:pPr>
        <w:pStyle w:val="ListBullet"/>
      </w:pPr>
      <w:r>
        <w:t>Internally, the target date is July 25, 2025. This came from an agreement between Sven and Morten.</w:t>
      </w:r>
    </w:p>
    <w:p>
      <w:pPr>
        <w:pStyle w:val="ListBullet"/>
      </w:pPr>
      <w:r>
        <w:t>New blocking work: mandatory infrastructure access setup (non-interactive) due September 12.</w:t>
      </w:r>
    </w:p>
    <w:p>
      <w:pPr>
        <w:pStyle w:val="ListBullet"/>
      </w:pPr>
      <w:r>
        <w:t>Due to overlapping demands, there's a risk of delay. Alvin to prepare documentation for Morgan.</w:t>
      </w:r>
    </w:p>
    <w:p>
      <w:pPr>
        <w:pStyle w:val="ListBullet"/>
      </w:pPr>
      <w:r>
        <w:t>If pushed to August, formal reprioritization and change requests (CIA, Clarity) will be needed.</w:t>
      </w:r>
    </w:p>
    <w:p>
      <w:pPr>
        <w:pStyle w:val="Heading2"/>
      </w:pPr>
      <w:r>
        <w:t>6. Equities Project</w:t>
      </w:r>
    </w:p>
    <w:p>
      <w:pPr>
        <w:pStyle w:val="ListBullet"/>
      </w:pPr>
      <w:r>
        <w:t>Currently in UAT. Files are visible in the UAT environment but not all test results have been shared.</w:t>
      </w:r>
    </w:p>
    <w:p>
      <w:pPr>
        <w:pStyle w:val="ListBullet"/>
      </w:pPr>
      <w:r>
        <w:t>End of Q3 2025 is the expected go-live date.</w:t>
      </w:r>
    </w:p>
    <w:p>
      <w:pPr>
        <w:pStyle w:val="ListBullet"/>
      </w:pPr>
      <w:r>
        <w:t>Project focuses on CBA BAR inclusive of equity elements — not standard equity VAR.</w:t>
      </w:r>
    </w:p>
    <w:p>
      <w:pPr>
        <w:pStyle w:val="ListBullet"/>
      </w:pPr>
      <w:r>
        <w:t>Sven is tasked with re-engaging Wellman, who must be fully informed for BAR validation compliance.</w:t>
      </w:r>
    </w:p>
    <w:p>
      <w:pPr>
        <w:pStyle w:val="Heading2"/>
      </w:pPr>
      <w:r>
        <w:t>7. XVA Patch Performance</w:t>
      </w:r>
    </w:p>
    <w:p>
      <w:pPr>
        <w:pStyle w:val="ListBullet"/>
      </w:pPr>
      <w:r>
        <w:t>Runway Risk patch has performance degradation.</w:t>
      </w:r>
    </w:p>
    <w:p>
      <w:pPr>
        <w:pStyle w:val="ListBullet"/>
      </w:pPr>
      <w:r>
        <w:t>One patch is being released today, another is scheduled for next week to improve performance metrics.</w:t>
      </w:r>
    </w:p>
    <w:p>
      <w:pPr>
        <w:pStyle w:val="ListBullet"/>
      </w:pPr>
      <w:r>
        <w:t>Post-deployment reviews will be conducted to confirm resolution and performance stability.</w:t>
      </w:r>
    </w:p>
    <w:p>
      <w:pPr>
        <w:pStyle w:val="Heading2"/>
      </w:pPr>
      <w:r>
        <w:t>8. Infrastructure Readiness</w:t>
      </w:r>
    </w:p>
    <w:p>
      <w:pPr>
        <w:pStyle w:val="ListBullet"/>
      </w:pPr>
      <w:r>
        <w:t>Technical go-live targeted for end of June.</w:t>
      </w:r>
    </w:p>
    <w:p>
      <w:pPr>
        <w:pStyle w:val="ListBullet"/>
      </w:pPr>
      <w:r>
        <w:t>Tasks include: EIT load, AP reload, SimIE integration, full SIT testing.</w:t>
      </w:r>
    </w:p>
    <w:p>
      <w:pPr>
        <w:pStyle w:val="ListBullet"/>
      </w:pPr>
      <w:r>
        <w:t>Objective: ensure end-to-end system performance and compatibility.</w:t>
      </w:r>
    </w:p>
    <w:p>
      <w:pPr>
        <w:pStyle w:val="ListBullet"/>
      </w:pPr>
      <w:r>
        <w:t>Ownership: Roy, SimIE team, and Infra coordination teams.</w:t>
      </w:r>
    </w:p>
    <w:p>
      <w:pPr>
        <w:pStyle w:val="Heading2"/>
      </w:pPr>
      <w:r>
        <w:t>9. Governance and Cross-Forum Coordination</w:t>
      </w:r>
    </w:p>
    <w:p>
      <w:pPr>
        <w:pStyle w:val="ListBullet"/>
      </w:pPr>
      <w:r>
        <w:t>Daily stress item was removed from XVA scorecard but continues in the stress testing forum.</w:t>
      </w:r>
    </w:p>
    <w:p>
      <w:pPr>
        <w:pStyle w:val="ListBullet"/>
      </w:pPr>
      <w:r>
        <w:t>It will be added back to the XVA PSC deck for improved visibility.</w:t>
      </w:r>
    </w:p>
    <w:p>
      <w:pPr>
        <w:pStyle w:val="ListBullet"/>
      </w:pPr>
      <w:r>
        <w:t>Delivery teams are shared across workstreams — governance must reflect cross-functional dependencies.</w:t>
      </w:r>
    </w:p>
    <w:p>
      <w:pPr>
        <w:pStyle w:val="Heading2"/>
      </w:pPr>
      <w:r>
        <w:t>Action Items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Deadline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Finalize SRVAR validation scope and participants</w:t>
            </w:r>
          </w:p>
        </w:tc>
        <w:tc>
          <w:tcPr>
            <w:tcW w:type="dxa" w:w="1728"/>
          </w:tcPr>
          <w:p>
            <w:r>
              <w:t>Sven, Venmin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Ensure Filippo is included for market risk.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Confirm GMV validation timeline</w:t>
            </w:r>
          </w:p>
        </w:tc>
        <w:tc>
          <w:tcPr>
            <w:tcW w:type="dxa" w:w="1728"/>
          </w:tcPr>
          <w:p>
            <w:r>
              <w:t>Venmin, Sven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  <w:tc>
          <w:tcPr>
            <w:tcW w:type="dxa" w:w="1728"/>
          </w:tcPr>
          <w:p>
            <w:r>
              <w:t>Decide status trajectory (Green or Amber).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Coordinate MDS testing for SCCR/MRP</w:t>
            </w:r>
          </w:p>
        </w:tc>
        <w:tc>
          <w:tcPr>
            <w:tcW w:type="dxa" w:w="1728"/>
          </w:tcPr>
          <w:p>
            <w:r>
              <w:t>Jürgen, Hemal</w:t>
            </w:r>
          </w:p>
        </w:tc>
        <w:tc>
          <w:tcPr>
            <w:tcW w:type="dxa" w:w="1728"/>
          </w:tcPr>
          <w:p>
            <w:r>
              <w:t>Ongoing</w:t>
            </w:r>
          </w:p>
        </w:tc>
        <w:tc>
          <w:tcPr>
            <w:tcW w:type="dxa" w:w="1728"/>
          </w:tcPr>
          <w:p>
            <w:r>
              <w:t>Prevent bifurcation across systems.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Prepare daily stress delay brief</w:t>
            </w:r>
          </w:p>
        </w:tc>
        <w:tc>
          <w:tcPr>
            <w:tcW w:type="dxa" w:w="1728"/>
          </w:tcPr>
          <w:p>
            <w:r>
              <w:t>Alvin</w:t>
            </w:r>
          </w:p>
        </w:tc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Summarize risks and propose date shift to Morgan.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Re-engage Wellman for BAR validation alignment</w:t>
            </w:r>
          </w:p>
        </w:tc>
        <w:tc>
          <w:tcPr>
            <w:tcW w:type="dxa" w:w="1728"/>
          </w:tcPr>
          <w:p>
            <w:r>
              <w:t>Sven</w:t>
            </w:r>
          </w:p>
        </w:tc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Confirm understanding of equity scope.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Share UAT test output for Equities</w:t>
            </w:r>
          </w:p>
        </w:tc>
        <w:tc>
          <w:tcPr>
            <w:tcW w:type="dxa" w:w="1728"/>
          </w:tcPr>
          <w:p>
            <w:r>
              <w:t>Roy, Rupal</w:t>
            </w:r>
          </w:p>
        </w:tc>
        <w:tc>
          <w:tcPr>
            <w:tcW w:type="dxa" w:w="1728"/>
          </w:tcPr>
          <w:p>
            <w:r>
              <w:t>1 week</w:t>
            </w:r>
          </w:p>
        </w:tc>
        <w:tc>
          <w:tcPr>
            <w:tcW w:type="dxa" w:w="1728"/>
          </w:tcPr>
          <w:p>
            <w:r>
              <w:t>Confirm readiness of results.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Monitor patch performance post-deployment</w:t>
            </w:r>
          </w:p>
        </w:tc>
        <w:tc>
          <w:tcPr>
            <w:tcW w:type="dxa" w:w="1728"/>
          </w:tcPr>
          <w:p>
            <w:r>
              <w:t>Infra team</w:t>
            </w:r>
          </w:p>
        </w:tc>
        <w:tc>
          <w:tcPr>
            <w:tcW w:type="dxa" w:w="1728"/>
          </w:tcPr>
          <w:p>
            <w:r>
              <w:t>Next 2 weeks</w:t>
            </w:r>
          </w:p>
        </w:tc>
        <w:tc>
          <w:tcPr>
            <w:tcW w:type="dxa" w:w="1728"/>
          </w:tcPr>
          <w:p>
            <w:r>
              <w:t>Ensure stability and runtime targets.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Complete infrastructure go-live checklist</w:t>
            </w:r>
          </w:p>
        </w:tc>
        <w:tc>
          <w:tcPr>
            <w:tcW w:type="dxa" w:w="1728"/>
          </w:tcPr>
          <w:p>
            <w:r>
              <w:t>Infra team</w:t>
            </w:r>
          </w:p>
        </w:tc>
        <w:tc>
          <w:tcPr>
            <w:tcW w:type="dxa" w:w="1728"/>
          </w:tcPr>
          <w:p>
            <w:r>
              <w:t>End of June</w:t>
            </w:r>
          </w:p>
        </w:tc>
        <w:tc>
          <w:tcPr>
            <w:tcW w:type="dxa" w:w="1728"/>
          </w:tcPr>
          <w:p>
            <w:r>
              <w:t>Includes SIT and SimIE validations.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