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</w:t>
      </w:r>
    </w:p>
    <w:p>
      <w:r>
        <w:t>Date: [Insert Date]</w:t>
      </w:r>
    </w:p>
    <w:p>
      <w:r>
        <w:t>Facilitator: Sven</w:t>
      </w:r>
    </w:p>
    <w:p>
      <w:r>
        <w:t>Attendees: Sven, Alvin, Sam, Arnold, David, Mingyu, Filippo, Roy, Rupal, Hemal, Jürgen, Sean (absent), Joe, Venmin, Wellman (to be contacted), others</w:t>
      </w:r>
    </w:p>
    <w:p>
      <w:pPr>
        <w:pStyle w:val="Heading2"/>
      </w:pPr>
      <w:r>
        <w:t>1. XVA Status</w:t>
      </w:r>
    </w:p>
    <w:p>
      <w:pPr>
        <w:pStyle w:val="ListBullet"/>
      </w:pPr>
      <w:r>
        <w:t>Current Status: Amber, progressing toward Green.</w:t>
      </w:r>
    </w:p>
    <w:p>
      <w:pPr>
        <w:pStyle w:val="ListBullet"/>
      </w:pPr>
      <w:r>
        <w:t>GMV Validation:</w:t>
      </w:r>
    </w:p>
    <w:p>
      <w:pPr>
        <w:pStyle w:val="ListBullet"/>
      </w:pPr>
      <w:r>
        <w:t>- Positive discussion: only implementation check needed, no full revalidation.</w:t>
      </w:r>
    </w:p>
    <w:p>
      <w:pPr>
        <w:pStyle w:val="ListBullet"/>
      </w:pPr>
      <w:r>
        <w:t>- Follow-up with GMV and MIA in ~2 weeks.</w:t>
      </w:r>
    </w:p>
    <w:p>
      <w:pPr>
        <w:pStyle w:val="ListBullet"/>
      </w:pPr>
      <w:r>
        <w:t>- Green if GMV confirms validation by end of 2025.</w:t>
      </w:r>
    </w:p>
    <w:p>
      <w:pPr>
        <w:pStyle w:val="ListBullet"/>
      </w:pPr>
      <w:r>
        <w:t>- Amber/Red if GMV pushes to Q1 2026.</w:t>
      </w:r>
    </w:p>
    <w:p>
      <w:pPr>
        <w:pStyle w:val="ListBullet"/>
      </w:pPr>
      <w:r>
        <w:t>VAST2 Decom Dependency: VAST2 must remain active until GMV validation is complete.</w:t>
      </w:r>
    </w:p>
    <w:p>
      <w:pPr>
        <w:pStyle w:val="Heading2"/>
      </w:pPr>
      <w:r>
        <w:t>2. VAST2 Decom / Sabre Migration</w:t>
      </w:r>
    </w:p>
    <w:p>
      <w:pPr>
        <w:pStyle w:val="ListBullet"/>
      </w:pPr>
      <w:r>
        <w:t>Timeline: Project work concludes in 2025; residual physical tasks (e.g., server de-tagging) in 2026.</w:t>
      </w:r>
    </w:p>
    <w:p>
      <w:pPr>
        <w:pStyle w:val="ListBullet"/>
      </w:pPr>
      <w:r>
        <w:t>Budget: No KTLO funding in 2026.</w:t>
      </w:r>
    </w:p>
    <w:p>
      <w:pPr>
        <w:pStyle w:val="ListBullet"/>
      </w:pPr>
      <w:r>
        <w:t>Deliverables in 2025: Infrastructure, model, batch delivery. TM’s business go-live (Cortex batch usage) can follow.</w:t>
      </w:r>
    </w:p>
    <w:p>
      <w:pPr>
        <w:pStyle w:val="ListBullet"/>
      </w:pPr>
      <w:r>
        <w:t>Validation Dependency: Full decommissioning of VAST2 awaits GMV’s formal approval.</w:t>
      </w:r>
    </w:p>
    <w:p>
      <w:pPr>
        <w:pStyle w:val="Heading2"/>
      </w:pPr>
      <w:r>
        <w:t>3. SRVAR Validation</w:t>
      </w:r>
    </w:p>
    <w:p>
      <w:pPr>
        <w:pStyle w:val="ListBullet"/>
      </w:pPr>
      <w:r>
        <w:t>Scope: No full revalidation — only implementation verification.</w:t>
      </w:r>
    </w:p>
    <w:p>
      <w:pPr>
        <w:pStyle w:val="ListBullet"/>
      </w:pPr>
      <w:r>
        <w:t>Key Roles: Venmin leads validation planning; Sven owns full delivery plan.</w:t>
      </w:r>
    </w:p>
    <w:p>
      <w:pPr>
        <w:pStyle w:val="ListBullet"/>
      </w:pPr>
      <w:r>
        <w:t>Technical Focus: Credit augmentation/mapping between Sabre and XVA.</w:t>
      </w:r>
    </w:p>
    <w:p>
      <w:pPr>
        <w:pStyle w:val="ListBullet"/>
      </w:pPr>
      <w:r>
        <w:t>Actions: Include Filippo for market risk context; finalize TDD inclusion and schedule meetings.</w:t>
      </w:r>
    </w:p>
    <w:p>
      <w:pPr>
        <w:pStyle w:val="Heading2"/>
      </w:pPr>
      <w:r>
        <w:t>4. MDS Enhancements and Bifurcation Risk</w:t>
      </w:r>
    </w:p>
    <w:p>
      <w:pPr>
        <w:pStyle w:val="ListBullet"/>
      </w:pPr>
      <w:r>
        <w:t>Concern: XVA progressing with MDS enhancements; other systems (e.g., SCCR, MRP) lagging.</w:t>
      </w:r>
    </w:p>
    <w:p>
      <w:pPr>
        <w:pStyle w:val="ListBullet"/>
      </w:pPr>
      <w:r>
        <w:t>Plan: Treat as BAU, though larger in scope (thousands of mappings vs. dozens).</w:t>
      </w:r>
    </w:p>
    <w:p>
      <w:pPr>
        <w:pStyle w:val="ListBullet"/>
      </w:pPr>
      <w:r>
        <w:t>Ownership: Jürgen (initial test), Hemal (system-wide coordination).</w:t>
      </w:r>
    </w:p>
    <w:p>
      <w:pPr>
        <w:pStyle w:val="ListBullet"/>
      </w:pPr>
      <w:r>
        <w:t>Monitoring: Track this closely for alignment and progress.</w:t>
      </w:r>
    </w:p>
    <w:p>
      <w:pPr>
        <w:pStyle w:val="Heading2"/>
      </w:pPr>
      <w:r>
        <w:t>5. Daily Stress Testing (XVA)</w:t>
      </w:r>
    </w:p>
    <w:p>
      <w:pPr>
        <w:pStyle w:val="ListBullet"/>
      </w:pPr>
      <w:r>
        <w:t>External Commitment: Delivered by end of 2025 (Sadia).</w:t>
      </w:r>
    </w:p>
    <w:p>
      <w:pPr>
        <w:pStyle w:val="ListBullet"/>
      </w:pPr>
      <w:r>
        <w:t>Internal Timeline: Originally July 25, 2025 (from Sven &amp; Morten).</w:t>
      </w:r>
    </w:p>
    <w:p>
      <w:pPr>
        <w:pStyle w:val="ListBullet"/>
      </w:pPr>
      <w:r>
        <w:t>Challenge: Infrastructure access change required by Sept 12; combined with team availability and leave.</w:t>
      </w:r>
    </w:p>
    <w:p>
      <w:pPr>
        <w:pStyle w:val="ListBullet"/>
      </w:pPr>
      <w:r>
        <w:t>Next Steps: Alvin to brief Morgan; possible push to August needs review and reprioritization.</w:t>
      </w:r>
    </w:p>
    <w:p>
      <w:pPr>
        <w:pStyle w:val="Heading2"/>
      </w:pPr>
      <w:r>
        <w:t>6. Equities Project</w:t>
      </w:r>
    </w:p>
    <w:p>
      <w:pPr>
        <w:pStyle w:val="ListBullet"/>
      </w:pPr>
      <w:r>
        <w:t>Status: Currently in UAT.</w:t>
      </w:r>
    </w:p>
    <w:p>
      <w:pPr>
        <w:pStyle w:val="ListBullet"/>
      </w:pPr>
      <w:r>
        <w:t>Go-Live Target: End of Q3 2025.</w:t>
      </w:r>
    </w:p>
    <w:p>
      <w:pPr>
        <w:pStyle w:val="ListBullet"/>
      </w:pPr>
      <w:r>
        <w:t>Clarification: This is CBA BAR with equity (not standard equity VAR).</w:t>
      </w:r>
    </w:p>
    <w:p>
      <w:pPr>
        <w:pStyle w:val="ListBullet"/>
      </w:pPr>
      <w:r>
        <w:t>Action: Sven to re-engage Wellman and clarify project intent/scope.</w:t>
      </w:r>
    </w:p>
    <w:p>
      <w:pPr>
        <w:pStyle w:val="Heading2"/>
      </w:pPr>
      <w:r>
        <w:t>7. XVA Patch Performance</w:t>
      </w:r>
    </w:p>
    <w:p>
      <w:pPr>
        <w:pStyle w:val="ListBullet"/>
      </w:pPr>
      <w:r>
        <w:t>Issue: Degradation in Runway Risk patch.</w:t>
      </w:r>
    </w:p>
    <w:p>
      <w:pPr>
        <w:pStyle w:val="ListBullet"/>
      </w:pPr>
      <w:r>
        <w:t>Fix Plan: Patch released today; follow-up patch next week.</w:t>
      </w:r>
    </w:p>
    <w:p>
      <w:pPr>
        <w:pStyle w:val="ListBullet"/>
      </w:pPr>
      <w:r>
        <w:t>Tracking: Monitor performance post-deployment.</w:t>
      </w:r>
    </w:p>
    <w:p>
      <w:pPr>
        <w:pStyle w:val="Heading2"/>
      </w:pPr>
      <w:r>
        <w:t>8. Infrastructure Readiness</w:t>
      </w:r>
    </w:p>
    <w:p>
      <w:pPr>
        <w:pStyle w:val="ListBullet"/>
      </w:pPr>
      <w:r>
        <w:t>Go-Live Target: End of June.</w:t>
      </w:r>
    </w:p>
    <w:p>
      <w:pPr>
        <w:pStyle w:val="ListBullet"/>
      </w:pPr>
      <w:r>
        <w:t>Tasks Remaining: EIT load and AP reload; complete SimIE component and SIT testing; validate front-to-back performance.</w:t>
      </w:r>
    </w:p>
    <w:p>
      <w:pPr>
        <w:pStyle w:val="ListBullet"/>
      </w:pPr>
      <w:r>
        <w:t>Team Leads: Roy, SimIE, Infra teams.</w:t>
      </w:r>
    </w:p>
    <w:p>
      <w:pPr>
        <w:pStyle w:val="Heading2"/>
      </w:pPr>
      <w:r>
        <w:t>9. Governance &amp; Visibility</w:t>
      </w:r>
    </w:p>
    <w:p>
      <w:pPr>
        <w:pStyle w:val="ListBullet"/>
      </w:pPr>
      <w:r>
        <w:t>Stress Testing Forum vs XVA PSC: Item was removed from XVA scorecard but tracked elsewhere. Will now be added back to both decks to improve visibility.</w:t>
      </w:r>
    </w:p>
    <w:p>
      <w:pPr>
        <w:pStyle w:val="ListBullet"/>
      </w:pPr>
      <w:r>
        <w:t>Cross-Forum Resource Sharing: Track dependencies as same teams are delivering across both tracks.</w:t>
      </w:r>
    </w:p>
    <w:p>
      <w:pPr>
        <w:pStyle w:val="Heading2"/>
      </w:pPr>
      <w:r>
        <w:t>Action Items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Deadline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Finalize SRVAR validation scope</w:t>
            </w:r>
          </w:p>
        </w:tc>
        <w:tc>
          <w:tcPr>
            <w:tcW w:type="dxa" w:w="1728"/>
          </w:tcPr>
          <w:p>
            <w:r>
              <w:t>Sven, Venmin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Include Filippo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Confirm GMV validation timeline</w:t>
            </w:r>
          </w:p>
        </w:tc>
        <w:tc>
          <w:tcPr>
            <w:tcW w:type="dxa" w:w="1728"/>
          </w:tcPr>
          <w:p>
            <w:r>
              <w:t>Venmin, Sven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Determine green status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Coordinate MDS testing</w:t>
            </w:r>
          </w:p>
        </w:tc>
        <w:tc>
          <w:tcPr>
            <w:tcW w:type="dxa" w:w="1728"/>
          </w:tcPr>
          <w:p>
            <w:r>
              <w:t>Jürgen, Hemal</w:t>
            </w:r>
          </w:p>
        </w:tc>
        <w:tc>
          <w:tcPr>
            <w:tcW w:type="dxa" w:w="1728"/>
          </w:tcPr>
          <w:p>
            <w:r>
              <w:t>Ongoing</w:t>
            </w:r>
          </w:p>
        </w:tc>
        <w:tc>
          <w:tcPr>
            <w:tcW w:type="dxa" w:w="1728"/>
          </w:tcPr>
          <w:p>
            <w:r>
              <w:t>Ensure system-wide data alignment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Summarize stress delay implications</w:t>
            </w:r>
          </w:p>
        </w:tc>
        <w:tc>
          <w:tcPr>
            <w:tcW w:type="dxa" w:w="1728"/>
          </w:tcPr>
          <w:p>
            <w:r>
              <w:t>Alvin</w:t>
            </w:r>
          </w:p>
        </w:tc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For Morgan's decision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Reconnect with Wellman re: equity</w:t>
            </w:r>
          </w:p>
        </w:tc>
        <w:tc>
          <w:tcPr>
            <w:tcW w:type="dxa" w:w="1728"/>
          </w:tcPr>
          <w:p>
            <w:r>
              <w:t>Sven</w:t>
            </w:r>
          </w:p>
        </w:tc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Confirm alignment on CBA BAR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Share Equities UAT results</w:t>
            </w:r>
          </w:p>
        </w:tc>
        <w:tc>
          <w:tcPr>
            <w:tcW w:type="dxa" w:w="1728"/>
          </w:tcPr>
          <w:p>
            <w:r>
              <w:t>Roy, Rupal</w:t>
            </w:r>
          </w:p>
        </w:tc>
        <w:tc>
          <w:tcPr>
            <w:tcW w:type="dxa" w:w="1728"/>
          </w:tcPr>
          <w:p>
            <w:r>
              <w:t>1 week</w:t>
            </w:r>
          </w:p>
        </w:tc>
        <w:tc>
          <w:tcPr>
            <w:tcW w:type="dxa" w:w="1728"/>
          </w:tcPr>
          <w:p>
            <w:r>
              <w:t>Track testing output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Monitor patch performance</w:t>
            </w:r>
          </w:p>
        </w:tc>
        <w:tc>
          <w:tcPr>
            <w:tcW w:type="dxa" w:w="1728"/>
          </w:tcPr>
          <w:p>
            <w:r>
              <w:t>Infra team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Ensure issue resolution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Finalize infra readiness</w:t>
            </w:r>
          </w:p>
        </w:tc>
        <w:tc>
          <w:tcPr>
            <w:tcW w:type="dxa" w:w="1728"/>
          </w:tcPr>
          <w:p>
            <w:r>
              <w:t>Infra team</w:t>
            </w:r>
          </w:p>
        </w:tc>
        <w:tc>
          <w:tcPr>
            <w:tcW w:type="dxa" w:w="1728"/>
          </w:tcPr>
          <w:p>
            <w:r>
              <w:t>End of June</w:t>
            </w:r>
          </w:p>
        </w:tc>
        <w:tc>
          <w:tcPr>
            <w:tcW w:type="dxa" w:w="1728"/>
          </w:tcPr>
          <w:p>
            <w:r>
              <w:t>SimIE + SIT completion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