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Detailed Notes – Historical Risk and P&amp;L Data Storage Initiative</w:t>
      </w:r>
    </w:p>
    <w:p>
      <w:pPr>
        <w:pStyle w:val="Heading1"/>
      </w:pPr>
      <w:r>
        <w:t>1. Core Objective</w:t>
      </w:r>
    </w:p>
    <w:p>
      <w:r>
        <w:t>To enable structured querying of historical risk and P&amp;L data for analysis, reporting, and audit purposes. The initiative is not aimed at primary trading or real-time risk feeds, but instead focuses on enabling strategists, risk analysts, and finance users to access deep historical datasets in a robust, performant, and user-friendly manner.</w:t>
      </w:r>
    </w:p>
    <w:p>
      <w:pPr>
        <w:pStyle w:val="Heading1"/>
      </w:pPr>
      <w:r>
        <w:t>2. Scope &amp; Use Case Breakdown</w:t>
      </w:r>
    </w:p>
    <w:p>
      <w:pPr>
        <w:pStyle w:val="Heading2"/>
      </w:pPr>
      <w:r>
        <w:t>Use Case A – Historical Risk &amp; P&amp;L Data Analysis (Strats)</w:t>
      </w:r>
    </w:p>
    <w:p>
      <w:r>
        <w:t>- Data required includes netting set-level risks (delta, vega, cross-gamma, etc.), trade-level metadata, and explained P&amp;L.</w:t>
        <w:br/>
        <w:t>- Tools used include CortexScript/EUC querying `.dat` files on a network drive.</w:t>
        <w:br/>
        <w:t>- Current data is fragmented across thousands of files and prone to failure.</w:t>
        <w:br/>
        <w:t>- Kumar noted issues with compressed files particularly affecting P&amp;L explain reliability.</w:t>
        <w:br/>
        <w:t>- Daily year-to-date P&amp;L queries are performed, requiring access to up to a year of data.</w:t>
        <w:br/>
        <w:t>- Users need near-instant responses to business queries, e.g., total premiums by year.</w:t>
      </w:r>
    </w:p>
    <w:p>
      <w:pPr>
        <w:pStyle w:val="Heading2"/>
      </w:pPr>
      <w:r>
        <w:t>Use Case B – Full Risk Stack Access (Collins)</w:t>
      </w:r>
    </w:p>
    <w:p>
      <w:r>
        <w:t>- Requires access to all historical risks including IR delta, IR vega, FX vega, and cross-gamma.</w:t>
        <w:br/>
        <w:t>- Collins emphasized the inclusion of cross-gamma as essential.</w:t>
        <w:br/>
        <w:t>- Use case involves visualizing risk evolution across various risk dimensions.</w:t>
        <w:br/>
        <w:t>- Must preserve data granularity and completeness.</w:t>
      </w:r>
    </w:p>
    <w:p>
      <w:pPr>
        <w:pStyle w:val="Heading2"/>
      </w:pPr>
      <w:r>
        <w:t>Use Case C – Metadata &amp; Auditability</w:t>
      </w:r>
    </w:p>
    <w:p>
      <w:r>
        <w:t>- Trade-level attributes such as booking information and sanity attributes are crucial.</w:t>
        <w:br/>
        <w:t>- Needed for audit trails, sanity checks, and reconciliations.</w:t>
      </w:r>
    </w:p>
    <w:p>
      <w:pPr>
        <w:pStyle w:val="Heading2"/>
      </w:pPr>
      <w:r>
        <w:t>Use Case D – Dual Versions / Discontinuity Management</w:t>
      </w:r>
    </w:p>
    <w:p>
      <w:r>
        <w:t>- Batch reruns and releases create discontinuities in the time series.</w:t>
        <w:br/>
        <w:t>- System must support retaining multiple versions for the same date.</w:t>
        <w:br/>
        <w:t>- Views must allow filtering and selection logic to carve out these discontinuities.</w:t>
      </w:r>
    </w:p>
    <w:p>
      <w:pPr>
        <w:pStyle w:val="Heading1"/>
      </w:pPr>
      <w:r>
        <w:t>3. Data Characteristics</w:t>
      </w:r>
    </w:p>
    <w:p>
      <w:r>
        <w:t>- ~3 TB historical data in compressed `.dat` format.</w:t>
        <w:br/>
        <w:t>- ~250 MB daily incremental data.</w:t>
        <w:br/>
        <w:t>- Netting set-level legal form.</w:t>
        <w:br/>
        <w:t>- Coverage includes data back to 2020 and some from earlier years.</w:t>
      </w:r>
    </w:p>
    <w:p>
      <w:pPr>
        <w:pStyle w:val="Heading1"/>
      </w:pPr>
      <w:r>
        <w:t>4. Data Storage &amp; Query Architecture</w:t>
      </w:r>
    </w:p>
    <w:p>
      <w:r>
        <w:t>- Primary Storage: ValueStore (object storage layer).</w:t>
        <w:br/>
        <w:t>- Viewing databases using ClickHouse: RISC View, Market Risk View, CCR View.</w:t>
        <w:br/>
        <w:t>- Proposed creation of a dedicated XVA Historical View for custom use cases.</w:t>
      </w:r>
    </w:p>
    <w:p>
      <w:pPr>
        <w:pStyle w:val="Heading1"/>
      </w:pPr>
      <w:r>
        <w:t>5. Current vs. Target State</w:t>
      </w:r>
    </w:p>
    <w:p>
      <w:r>
        <w:t>Current:</w:t>
        <w:br/>
        <w:t>- EUC scripts loading `.dat` files manually.</w:t>
        <w:br/>
        <w:t>- Fragile and complex logic to extract data.</w:t>
        <w:br/>
        <w:br/>
        <w:t>Target:</w:t>
        <w:br/>
        <w:t>- Centralized, queryable database view.</w:t>
        <w:br/>
        <w:t>- Fast, structured queries using SQL or equivalent APIs.</w:t>
        <w:br/>
        <w:t>- Support for overrides, dual versions, metadata tagging.</w:t>
      </w:r>
    </w:p>
    <w:p>
      <w:pPr>
        <w:pStyle w:val="Heading1"/>
      </w:pPr>
      <w:r>
        <w:t>6. Performance &amp; Availability</w:t>
      </w:r>
    </w:p>
    <w:p>
      <w:r>
        <w:t>- Online, full-history access is required.</w:t>
        <w:br/>
        <w:t>- Expect sub-minute query times for most use cases.</w:t>
        <w:br/>
        <w:t>- Must avoid slow, offline data recovery processes.</w:t>
      </w:r>
    </w:p>
    <w:p>
      <w:pPr>
        <w:pStyle w:val="Heading1"/>
      </w:pPr>
      <w:r>
        <w:t>7. Business Continuity Classification</w:t>
      </w:r>
    </w:p>
    <w:p>
      <w:r>
        <w:t>- ValueStore currently not BC5-rated.</w:t>
        <w:br/>
        <w:t>- BC4 acceptable for historical data.</w:t>
        <w:br/>
        <w:t>- Live data use cases to be handled separately.</w:t>
        <w:br/>
        <w:t>- BC ratings determine support level, downtime tolerance, and infrastructure cost.</w:t>
      </w:r>
    </w:p>
    <w:p>
      <w:pPr>
        <w:pStyle w:val="Heading1"/>
      </w:pPr>
      <w:r>
        <w:t>8. NAS Storage Limitations</w:t>
      </w:r>
    </w:p>
    <w:p>
      <w:r>
        <w:t>- NAS has poor reliability despite BC5 rating.</w:t>
        <w:br/>
        <w:t>- Limited space, slow access, fragmented control.</w:t>
        <w:br/>
        <w:t>- ValueStore seen as a more scalable and robust alternative.</w:t>
      </w:r>
    </w:p>
    <w:p>
      <w:pPr>
        <w:pStyle w:val="Heading1"/>
      </w:pPr>
      <w:r>
        <w:t>9. Override and Change Management</w:t>
      </w:r>
    </w:p>
    <w:p>
      <w:r>
        <w:t>- Users often need to manually fix or override historical data.</w:t>
        <w:br/>
        <w:t>- Require ability to update or patch values with minimal friction.</w:t>
        <w:br/>
        <w:t>- View/query model should support version tracking and correction logic.</w:t>
      </w:r>
    </w:p>
    <w:p>
      <w:pPr>
        <w:pStyle w:val="Heading1"/>
      </w:pPr>
      <w:r>
        <w:t>10. Next Steps</w:t>
      </w:r>
    </w:p>
    <w:p>
      <w:r>
        <w:t>- Draft high-level use cases and query patterns.</w:t>
        <w:br/>
        <w:t>- Define and confirm viewing database architecture.</w:t>
        <w:br/>
        <w:t>- Engage IT for BC rating discussions.</w:t>
        <w:br/>
        <w:t>- Begin historical data ingestion into ValueStore.</w:t>
        <w:br/>
        <w:t>- Plan a proof-of-concept/demo session.</w:t>
        <w:br/>
        <w:t>- Design APIs and transition plan from EUC.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