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FA3" w:sz="20" w:space="4"/>
        </w:pBdr>
        <w:spacing w:after="80" w:before="0"/>
      </w:pPr>
      <w:r>
        <w:rPr>
          <w:rFonts w:ascii="Arial" w:cs="Arial" w:eastAsia="Arial" w:hAnsi="Arial"/>
          <w:b/>
          <w:bCs/>
          <w:caps/>
          <w:color w:val="1B3A6B"/>
          <w:sz w:val="36"/>
          <w:szCs w:val="36"/>
        </w:rPr>
        <w:t xml:space="preserve">SABRE AMCST ADOPTION PROGRAMME</w:t>
      </w:r>
    </w:p>
    <w:p>
      <w:pPr>
        <w:spacing w:after="60" w:before="100"/>
      </w:pPr>
      <w:r>
        <w:rPr>
          <w:rFonts w:ascii="Arial" w:cs="Arial" w:eastAsia="Arial" w:hAnsi="Arial"/>
          <w:color w:val="2E5FA3"/>
          <w:sz w:val="28"/>
          <w:szCs w:val="28"/>
        </w:rPr>
        <w:t xml:space="preserve">Working Group Call — Detailed Minutes &amp; Analytical Summary</w:t>
      </w:r>
    </w:p>
    <w:p>
      <w:pPr>
        <w:spacing w:after="280" w:before="40"/>
      </w:pPr>
      <w:r>
        <w:rPr>
          <w:rFonts w:ascii="Arial" w:cs="Arial" w:eastAsia="Arial" w:hAnsi="Arial"/>
          <w:i/>
          <w:iCs/>
          <w:color w:val="595959"/>
          <w:sz w:val="22"/>
          <w:szCs w:val="22"/>
        </w:rPr>
        <w:t xml:space="preserve">April 21, 2026  |  Standard Chartered GBS — Market Risk</w:t>
      </w:r>
    </w:p>
    <w:p>
      <w:pPr>
        <w:pStyle w:val="Heading1"/>
        <w:pBdr>
          <w:bottom w:val="single" w:color="2E5FA3" w:sz="8" w:space="4"/>
        </w:pBdr>
        <w:spacing w:after="120" w:before="360"/>
      </w:pPr>
      <w:r>
        <w:rPr>
          <w:rFonts w:ascii="Arial" w:cs="Arial" w:eastAsia="Arial" w:hAnsi="Arial"/>
          <w:b/>
          <w:bCs/>
          <w:color w:val="1B3A6B"/>
          <w:sz w:val="28"/>
          <w:szCs w:val="28"/>
        </w:rPr>
        <w:t xml:space="preserve">1.  MEETING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AF3FB" w:val="clear"/>
            <w:tcMar>
              <w:top w:type="dxa" w:w="80"/>
              <w:left w:type="dxa" w:w="160"/>
              <w:bottom w:type="dxa" w:w="80"/>
              <w:right w:type="dxa" w:w="160"/>
            </w:tcMar>
          </w:tcPr>
          <w:p>
            <w:r>
              <w:rPr>
                <w:rFonts w:ascii="Arial" w:cs="Arial" w:eastAsia="Arial" w:hAnsi="Arial"/>
                <w:b/>
                <w:bCs/>
                <w:color w:val="1B3A6B"/>
                <w:sz w:val="20"/>
                <w:szCs w:val="20"/>
              </w:rPr>
              <w:t xml:space="preserve">Date</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Arial" w:cs="Arial" w:eastAsia="Arial" w:hAnsi="Arial"/>
                <w:sz w:val="20"/>
                <w:szCs w:val="20"/>
              </w:rPr>
              <w:t xml:space="preserve">April 21, 2026</w:t>
            </w:r>
          </w:p>
        </w:tc>
      </w:tr>
      <w:tr>
        <w:tc>
          <w:tcPr>
            <w:tcW w:type="dxa" w:w="2200"/>
            <w:tcBorders>
              <w:top w:val="none" w:color="FFFFFF" w:sz="0"/>
              <w:left w:val="none" w:color="FFFFFF" w:sz="0"/>
              <w:bottom w:val="none" w:color="FFFFFF" w:sz="0"/>
              <w:right w:val="none" w:color="FFFFFF" w:sz="0"/>
            </w:tcBorders>
            <w:shd w:fill="EAF3FB" w:val="clear"/>
            <w:tcMar>
              <w:top w:type="dxa" w:w="80"/>
              <w:left w:type="dxa" w:w="160"/>
              <w:bottom w:type="dxa" w:w="80"/>
              <w:right w:type="dxa" w:w="160"/>
            </w:tcMar>
          </w:tcPr>
          <w:p>
            <w:r>
              <w:rPr>
                <w:rFonts w:ascii="Arial" w:cs="Arial" w:eastAsia="Arial" w:hAnsi="Arial"/>
                <w:b/>
                <w:bCs/>
                <w:color w:val="1B3A6B"/>
                <w:sz w:val="20"/>
                <w:szCs w:val="20"/>
              </w:rPr>
              <w:t xml:space="preserve">Meeting Type</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Arial" w:cs="Arial" w:eastAsia="Arial" w:hAnsi="Arial"/>
                <w:sz w:val="20"/>
                <w:szCs w:val="20"/>
              </w:rPr>
              <w:t xml:space="preserve">SABRE AMCST Adoption Working Group — Weekly Governance Call</w:t>
            </w:r>
          </w:p>
        </w:tc>
      </w:tr>
      <w:tr>
        <w:tc>
          <w:tcPr>
            <w:tcW w:type="dxa" w:w="2200"/>
            <w:tcBorders>
              <w:top w:val="none" w:color="FFFFFF" w:sz="0"/>
              <w:left w:val="none" w:color="FFFFFF" w:sz="0"/>
              <w:bottom w:val="none" w:color="FFFFFF" w:sz="0"/>
              <w:right w:val="none" w:color="FFFFFF" w:sz="0"/>
            </w:tcBorders>
            <w:shd w:fill="EAF3FB" w:val="clear"/>
            <w:tcMar>
              <w:top w:type="dxa" w:w="80"/>
              <w:left w:type="dxa" w:w="160"/>
              <w:bottom w:type="dxa" w:w="80"/>
              <w:right w:type="dxa" w:w="160"/>
            </w:tcMar>
          </w:tcPr>
          <w:p>
            <w:r>
              <w:rPr>
                <w:rFonts w:ascii="Arial" w:cs="Arial" w:eastAsia="Arial" w:hAnsi="Arial"/>
                <w:b/>
                <w:bCs/>
                <w:color w:val="1B3A6B"/>
                <w:sz w:val="20"/>
                <w:szCs w:val="20"/>
              </w:rPr>
              <w:t xml:space="preserve">Duration</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Arial" w:cs="Arial" w:eastAsia="Arial" w:hAnsi="Arial"/>
                <w:sz w:val="20"/>
                <w:szCs w:val="20"/>
              </w:rPr>
              <w:t xml:space="preserve">~60 minutes</w:t>
            </w:r>
          </w:p>
        </w:tc>
      </w:tr>
      <w:tr>
        <w:tc>
          <w:tcPr>
            <w:tcW w:type="dxa" w:w="2200"/>
            <w:tcBorders>
              <w:top w:val="none" w:color="FFFFFF" w:sz="0"/>
              <w:left w:val="none" w:color="FFFFFF" w:sz="0"/>
              <w:bottom w:val="none" w:color="FFFFFF" w:sz="0"/>
              <w:right w:val="none" w:color="FFFFFF" w:sz="0"/>
            </w:tcBorders>
            <w:shd w:fill="EAF3FB" w:val="clear"/>
            <w:tcMar>
              <w:top w:type="dxa" w:w="80"/>
              <w:left w:type="dxa" w:w="160"/>
              <w:bottom w:type="dxa" w:w="80"/>
              <w:right w:type="dxa" w:w="160"/>
            </w:tcMar>
          </w:tcPr>
          <w:p>
            <w:r>
              <w:rPr>
                <w:rFonts w:ascii="Arial" w:cs="Arial" w:eastAsia="Arial" w:hAnsi="Arial"/>
                <w:b/>
                <w:bCs/>
                <w:color w:val="1B3A6B"/>
                <w:sz w:val="20"/>
                <w:szCs w:val="20"/>
              </w:rPr>
              <w:t xml:space="preserve">Participants</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Arial" w:cs="Arial" w:eastAsia="Arial" w:hAnsi="Arial"/>
                <w:sz w:val="20"/>
                <w:szCs w:val="20"/>
              </w:rPr>
              <w:t xml:space="preserve">Kumar, Ala-Eddine, Evelyn, Anita, Tony, Alan, Rakesh (ref.)</w:t>
            </w:r>
          </w:p>
        </w:tc>
      </w:tr>
      <w:tr>
        <w:tc>
          <w:tcPr>
            <w:tcW w:type="dxa" w:w="2200"/>
            <w:tcBorders>
              <w:top w:val="none" w:color="FFFFFF" w:sz="0"/>
              <w:left w:val="none" w:color="FFFFFF" w:sz="0"/>
              <w:bottom w:val="none" w:color="FFFFFF" w:sz="0"/>
              <w:right w:val="none" w:color="FFFFFF" w:sz="0"/>
            </w:tcBorders>
            <w:shd w:fill="EAF3FB" w:val="clear"/>
            <w:tcMar>
              <w:top w:type="dxa" w:w="80"/>
              <w:left w:type="dxa" w:w="160"/>
              <w:bottom w:type="dxa" w:w="80"/>
              <w:right w:type="dxa" w:w="160"/>
            </w:tcMar>
          </w:tcPr>
          <w:p>
            <w:r>
              <w:rPr>
                <w:rFonts w:ascii="Arial" w:cs="Arial" w:eastAsia="Arial" w:hAnsi="Arial"/>
                <w:b/>
                <w:bCs/>
                <w:color w:val="1B3A6B"/>
                <w:sz w:val="20"/>
                <w:szCs w:val="20"/>
              </w:rPr>
              <w:t xml:space="preserve">Subject</w:t>
            </w:r>
          </w:p>
        </w:tc>
        <w:tc>
          <w:tcPr>
            <w:tcW w:type="dxa" w:w="71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r>
              <w:rPr>
                <w:rFonts w:ascii="Arial" w:cs="Arial" w:eastAsia="Arial" w:hAnsi="Arial"/>
                <w:sz w:val="20"/>
                <w:szCs w:val="20"/>
              </w:rPr>
              <w:t xml:space="preserve">Scope Finalisation, Accrual Validation Design, NSP Portfolio Issue, Korea Topology</w:t>
            </w:r>
          </w:p>
        </w:tc>
      </w:tr>
    </w:tbl>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2.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24"/>
              <w:bottom w:val="single" w:color="2E5FA3" w:sz="4"/>
              <w:right w:val="single" w:color="2E5FA3" w:sz="4"/>
            </w:tcBorders>
            <w:shd w:fill="EAF3FB"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EXECUTIVE SUMMARY</w:t>
            </w:r>
          </w:p>
          <w:p>
            <w:pPr>
              <w:spacing w:after="60"/>
            </w:pPr>
            <w:r>
              <w:rPr>
                <w:rFonts w:ascii="Arial" w:cs="Arial" w:eastAsia="Arial" w:hAnsi="Arial"/>
                <w:i/>
                <w:iCs/>
                <w:sz w:val="22"/>
                <w:szCs w:val="22"/>
              </w:rPr>
              <w:t xml:space="preserve">This call resolved the long-standing scope ambiguity for the SABRE AMCST adoption programme: go-live scope is confirmed as all 339 AMCST credit portfolios, with validation anchored on the 119 books carrying active trades. The session surfaced a structurally significant edge case — three NSP portfolios with a non-standard dual-ledger booking topology — that creates a sub-ledger imbalance risk under the SABRE adoption model. In parallel, the output file design was advanced to a near-final state, and the Korea accrual topology was formally brought into scope for resolution.</w:t>
            </w:r>
          </w:p>
          <w:p>
            <w:r>
              <w:rPr>
                <w:rFonts w:ascii="Arial" w:cs="Arial" w:eastAsia="Arial" w:hAnsi="Arial"/>
                <w:b/>
                <w:bCs/>
                <w:color w:val="1B3A6B"/>
                <w:sz w:val="22"/>
                <w:szCs w:val="22"/>
              </w:rPr>
              <w:t xml:space="preserve">Net status: Two major workstreams closed (Scope Definition, File Design principle). Two material risks escalated (NSP portfolio GL overstatement, Korea downstream gap). Five owner-assigned action items issued.</w:t>
            </w:r>
          </w:p>
        </w:tc>
      </w:tr>
    </w:tbl>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3.  SCOPE DEFINITION  ✅  CLOSED</w:t>
      </w:r>
    </w:p>
    <w:p>
      <w:pPr>
        <w:spacing w:after="60" w:before="60"/>
      </w:pPr>
      <w:r>
        <w:rPr>
          <w:rFonts w:ascii="Arial" w:cs="Arial" w:eastAsia="Arial" w:hAnsi="Arial"/>
          <w:sz w:val="22"/>
          <w:szCs w:val="22"/>
        </w:rPr>
        <w:t xml:space="preserve">The most consequential outcome of this call was the formal resolution of the programme scope after several weeks of discussion around a phased approach. The table below captures the agreed architecture of the validation and go-live scope, including the critical reasoning behind the rejection of a phased portfolio rollout.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338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338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Validation Scope</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119 books (live-trade portfolios only)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Only books with live trades can be validated — no live trades = no replication baseline</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Go-Live Scope</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339 AMCST credit portfolios (full list)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Phased approach is not viable — SABRE flag applies globally across all Murex portfolios; partial adoption cannot be controlled at portfolio level without additional mapping tables</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Sign-Off Logic</w:t>
            </w:r>
          </w:p>
        </w:tc>
        <w:tc>
          <w:tcPr>
            <w:tcW w:type="dxa" w:w="33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Kumar: sign-off on 119 = sign-off on 339</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Books without live trades validated by proxy via equivalent live-trade portfolios exhibiting same accounting behaviour</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119 Book Stability</w:t>
            </w:r>
          </w:p>
        </w:tc>
        <w:tc>
          <w:tcPr>
            <w:tcW w:type="dxa" w:w="33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r>
              <w:rPr>
                <w:rFonts w:ascii="Arial" w:cs="Arial" w:eastAsia="Arial" w:hAnsi="Arial"/>
                <w:color w:val="C55A11"/>
                <w:sz w:val="20"/>
                <w:szCs w:val="20"/>
              </w:rPr>
              <w:t xml:space="preserve">Dynamic — not a static list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119 figure reflects live trades as of June cut; new trades post-cutoff will alter the book list — validation must account for this temporal dependency</w:t>
            </w:r>
          </w:p>
        </w:tc>
      </w:tr>
    </w:tbl>
    <w:p>
      <w:pPr>
        <w:spacing w:before="120"/>
      </w:pPr>
    </w:p>
    <w:p>
      <w:pPr>
        <w:spacing w:after="60" w:before="60"/>
      </w:pPr>
      <w:r>
        <w:rPr>
          <w:rFonts w:ascii="Arial" w:cs="Arial" w:eastAsia="Arial" w:hAnsi="Arial"/>
          <w:b/>
          <w:bCs/>
          <w:color w:val="1B3A6B"/>
          <w:sz w:val="22"/>
          <w:szCs w:val="22"/>
        </w:rPr>
        <w:t xml:space="preserve">Analytical note:</w:t>
      </w:r>
    </w:p>
    <w:p>
      <w:pPr>
        <w:spacing w:after="60" w:before="60"/>
      </w:pPr>
      <w:r>
        <w:rPr>
          <w:rFonts w:ascii="Arial" w:cs="Arial" w:eastAsia="Arial" w:hAnsi="Arial"/>
          <w:sz w:val="22"/>
          <w:szCs w:val="22"/>
        </w:rPr>
        <w:t xml:space="preserve">The proposal to restrict SABRE adoption to a subset of portfolios (e.g. 119 books only) was technically sound from a validation standpoint but operationally unenforceable: the SABRE flag operates at the Murex system level, not at the portfolio level. Without a new PCT2-level mapping table (akin to the PPE adoption control), all portfolios in the AMCST classification would be switched on simultaneously upon SABRE activation. This was the decisive technical argument for full-scope go-live.</w:t>
      </w:r>
    </w:p>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4.  CRITICAL RISK: NSP PORTFOLIO TOPOLOGY ISSUE</w:t>
      </w:r>
    </w:p>
    <w:p>
      <w:pPr>
        <w:spacing w:after="60" w:before="60"/>
      </w:pPr>
      <w:r>
        <w:rPr>
          <w:rFonts w:ascii="Arial" w:cs="Arial" w:eastAsia="Arial" w:hAnsi="Arial"/>
          <w:sz w:val="22"/>
          <w:szCs w:val="22"/>
        </w:rPr>
        <w:t xml:space="preserve">The most technically complex discussion of the call centred on three NSP portfolios (PKRP-type) that expose a structural gap in the SABRE adoption model. This is a material risk to sub-ledger integrity and requires a dedicated resolution workstream before go-live.</w:t>
      </w:r>
    </w:p>
    <w:p>
      <w:pPr>
        <w:spacing w:before="120"/>
      </w:pPr>
    </w:p>
    <w:p>
      <w:pPr>
        <w:pStyle w:val="Heading2"/>
        <w:spacing w:after="100" w:before="280"/>
      </w:pPr>
      <w:r>
        <w:rPr>
          <w:rFonts w:ascii="Arial" w:cs="Arial" w:eastAsia="Arial" w:hAnsi="Arial"/>
          <w:b/>
          <w:bCs/>
          <w:color w:val="2E5FA3"/>
          <w:sz w:val="24"/>
          <w:szCs w:val="24"/>
        </w:rPr>
        <w:t xml:space="preserve">4.1  Issue Deep-Dive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716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Portfolios Affected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NSP portfolios (e.g. PKRP-type) — South/Southeast Asian entity workaround books</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Root Cause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These entities could not onboard trades directly into Aspire (rates system). GPTM booking was used as an STP workaround, with a corresponding NSP portfolio carrying the reversal leg for net GL reporting</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Booking Topology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Leg 1: BTS/GPTM portfolio → GL (accruals flow via Murex). Leg 2: NSP portfolio → acts as reversal/offset (currently receives Murex accruals). Leg 3: Reporting portfolio → P&amp;L visible here only</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Impact Under SABRE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SABRE would not recognise the NSP portfolio (SABRE PV flag not set for these books in PCT2). Murex accruals to GPTM will be replaced by SABRE accruals, but the NSP reversal leg will remain on Murex basis → net GL overstatement</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P&amp;L Reporting Impact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None — P&amp;L reporting uses only the designated reporting portfolio, which is unaffected</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Sub-Ledger Impact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 — sub-ledger receives trade-level feeds from all FMTP systems; feeds flow to sub-ledger first, then to GL. Loss of the NSP offset at sub-ledger level creates an imbalance not visible at GL layer</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Duration of Issue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This workaround has been in place for 5–6 years; the SABRE flag model has only ever used two flags to date — this represents a genuinely new edge case</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Proposed Solution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Under review: potential SABRE PV flag control at PCT2 book level to exclude NSP portfolios from SABRE accrual feeds; mirrors the PPE adoption control mechanism. Requires NSP document change + potential P&amp;L inclusion flag update</w:t>
            </w:r>
          </w:p>
        </w:tc>
      </w:tr>
      <w:tr>
        <w:tc>
          <w:tcPr>
            <w:tcW w:type="dxa" w:w="22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Blocker to Validation?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 Kumar confirmed this issue does not block accrual validation for the 119 books; investigation runs in parallel</w:t>
            </w:r>
          </w:p>
        </w:tc>
      </w:tr>
    </w:tbl>
    <w:p>
      <w:pPr>
        <w:spacing w:before="140"/>
      </w:pPr>
    </w:p>
    <w:p>
      <w:pPr>
        <w:pStyle w:val="Heading2"/>
        <w:spacing w:after="100" w:before="280"/>
      </w:pPr>
      <w:r>
        <w:rPr>
          <w:rFonts w:ascii="Arial" w:cs="Arial" w:eastAsia="Arial" w:hAnsi="Arial"/>
          <w:b/>
          <w:bCs/>
          <w:color w:val="2E5FA3"/>
          <w:sz w:val="24"/>
          <w:szCs w:val="24"/>
        </w:rPr>
        <w:t xml:space="preserve">4.2  Booking Topology — Current State vs. Future State</w:t>
      </w:r>
    </w:p>
    <w:p>
      <w:pPr>
        <w:spacing w:after="60" w:before="60"/>
      </w:pPr>
      <w:r>
        <w:rPr>
          <w:rFonts w:ascii="Arial" w:cs="Arial" w:eastAsia="Arial" w:hAnsi="Arial"/>
          <w:b/>
          <w:bCs/>
          <w:color w:val="1B3A6B"/>
          <w:sz w:val="22"/>
          <w:szCs w:val="22"/>
        </w:rPr>
        <w:t xml:space="preserve">Current State (Murex baseline):</w:t>
      </w:r>
    </w:p>
    <w:p>
      <w:pPr>
        <w:pStyle w:val="ListParagraph"/>
        <w:numPr>
          <w:ilvl w:val="0"/>
          <w:numId w:val="2"/>
        </w:numPr>
        <w:spacing w:after="40" w:before="40"/>
      </w:pPr>
      <w:r>
        <w:rPr>
          <w:rFonts w:ascii="Arial" w:cs="Arial" w:eastAsia="Arial" w:hAnsi="Arial"/>
          <w:sz w:val="22"/>
          <w:szCs w:val="22"/>
        </w:rPr>
        <w:t xml:space="preserve">BTS/GPTM Portfolio: booking entry (+100) → feeds GL via Murex accrual</w:t>
      </w:r>
    </w:p>
    <w:p>
      <w:pPr>
        <w:pStyle w:val="ListParagraph"/>
        <w:numPr>
          <w:ilvl w:val="0"/>
          <w:numId w:val="2"/>
        </w:numPr>
        <w:spacing w:after="40" w:before="40"/>
      </w:pPr>
      <w:r>
        <w:rPr>
          <w:rFonts w:ascii="Arial" w:cs="Arial" w:eastAsia="Arial" w:hAnsi="Arial"/>
          <w:sz w:val="22"/>
          <w:szCs w:val="22"/>
        </w:rPr>
        <w:t xml:space="preserve">NSP Portfolio: reversal entry (−100) → offsets the GPTM booking in GL; net GL = 0</w:t>
      </w:r>
    </w:p>
    <w:p>
      <w:pPr>
        <w:pStyle w:val="ListParagraph"/>
        <w:numPr>
          <w:ilvl w:val="0"/>
          <w:numId w:val="2"/>
        </w:numPr>
        <w:spacing w:after="40" w:before="40"/>
      </w:pPr>
      <w:r>
        <w:rPr>
          <w:rFonts w:ascii="Arial" w:cs="Arial" w:eastAsia="Arial" w:hAnsi="Arial"/>
          <w:sz w:val="22"/>
          <w:szCs w:val="22"/>
        </w:rPr>
        <w:t xml:space="preserve">Reporting Portfolio: P&amp;L reporting only; no GL entry</w:t>
      </w:r>
    </w:p>
    <w:p>
      <w:pPr>
        <w:spacing w:before="80"/>
      </w:pPr>
    </w:p>
    <w:p>
      <w:pPr>
        <w:spacing w:after="60" w:before="60"/>
      </w:pPr>
      <w:r>
        <w:rPr>
          <w:rFonts w:ascii="Arial" w:cs="Arial" w:eastAsia="Arial" w:hAnsi="Arial"/>
          <w:b/>
          <w:bCs/>
          <w:color w:val="C55A11"/>
          <w:sz w:val="22"/>
          <w:szCs w:val="22"/>
        </w:rPr>
        <w:t xml:space="preserve">Future State under SABRE (without fix):</w:t>
      </w:r>
    </w:p>
    <w:p>
      <w:pPr>
        <w:pStyle w:val="ListParagraph"/>
        <w:numPr>
          <w:ilvl w:val="0"/>
          <w:numId w:val="2"/>
        </w:numPr>
        <w:spacing w:after="40" w:before="40"/>
      </w:pPr>
      <w:r>
        <w:rPr>
          <w:rFonts w:ascii="Arial" w:cs="Arial" w:eastAsia="Arial" w:hAnsi="Arial"/>
          <w:sz w:val="22"/>
          <w:szCs w:val="22"/>
        </w:rPr>
        <w:t xml:space="preserve">BTS/GPTM Portfolio: SABRE accrual feeds here → GL entry from SABRE (+100)</w:t>
      </w:r>
    </w:p>
    <w:p>
      <w:pPr>
        <w:pStyle w:val="ListParagraph"/>
        <w:numPr>
          <w:ilvl w:val="0"/>
          <w:numId w:val="2"/>
        </w:numPr>
        <w:spacing w:after="40" w:before="40"/>
      </w:pPr>
      <w:r>
        <w:rPr>
          <w:rFonts w:ascii="Arial" w:cs="Arial" w:eastAsia="Arial" w:hAnsi="Arial"/>
          <w:sz w:val="22"/>
          <w:szCs w:val="22"/>
        </w:rPr>
        <w:t xml:space="preserve">NSP Portfolio: SABRE does NOT recognise this book (PV flag absent in PCT2) → Murex reversal continues (−100 from Murex) OR no accrual → GL overstatement</w:t>
      </w:r>
    </w:p>
    <w:p>
      <w:pPr>
        <w:pStyle w:val="ListParagraph"/>
        <w:numPr>
          <w:ilvl w:val="0"/>
          <w:numId w:val="2"/>
        </w:numPr>
        <w:spacing w:after="40" w:before="40"/>
      </w:pPr>
      <w:r>
        <w:rPr>
          <w:rFonts w:ascii="Arial" w:cs="Arial" w:eastAsia="Arial" w:hAnsi="Arial"/>
          <w:sz w:val="22"/>
          <w:szCs w:val="22"/>
        </w:rPr>
        <w:t xml:space="preserve">Sub-ledger receives all trade-level feeds from FMTP systems; the mismatch becomes visible at trade level before reaching the GL — causing sub-ledger imbalance</w:t>
      </w:r>
    </w:p>
    <w:p>
      <w:pPr>
        <w:spacing w:before="80"/>
      </w:pPr>
    </w:p>
    <w:p>
      <w:pPr>
        <w:spacing w:after="60" w:before="60"/>
      </w:pPr>
      <w:r>
        <w:rPr>
          <w:rFonts w:ascii="Arial" w:cs="Arial" w:eastAsia="Arial" w:hAnsi="Arial"/>
          <w:b/>
          <w:bCs/>
          <w:color w:val="1B3A6B"/>
          <w:sz w:val="22"/>
          <w:szCs w:val="22"/>
        </w:rPr>
        <w:t xml:space="preserve">Why P&amp;L is unaffected but sub-ledger is at risk:</w:t>
      </w:r>
    </w:p>
    <w:p>
      <w:pPr>
        <w:spacing w:after="60" w:before="60"/>
      </w:pPr>
      <w:r>
        <w:rPr>
          <w:rFonts w:ascii="Arial" w:cs="Arial" w:eastAsia="Arial" w:hAnsi="Arial"/>
          <w:sz w:val="22"/>
          <w:szCs w:val="22"/>
        </w:rPr>
        <w:t xml:space="preserve">P&amp;L reporting draws from the dedicated reporting portfolio, which does not participate in the GPTM/NSP offsetting structure. The GL itself benefits from the BTS posting which is finance-controlled and remains correct. However, the sub-ledger-to-ledger mapping requires trade-level completeness — and the broken offset in the NSP leg will surface as an imbalance at sub-ledger level, impacting downstream reconciliation and any users consuming trade-level accrual data from the sub-ledger.</w:t>
      </w:r>
    </w:p>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5.  OUTPUT FILE DESIGN — NEAR FINAL</w:t>
      </w:r>
    </w:p>
    <w:p>
      <w:pPr>
        <w:spacing w:after="60" w:before="60"/>
      </w:pPr>
      <w:r>
        <w:rPr>
          <w:rFonts w:ascii="Arial" w:cs="Arial" w:eastAsia="Arial" w:hAnsi="Arial"/>
          <w:sz w:val="22"/>
          <w:szCs w:val="22"/>
        </w:rPr>
        <w:t xml:space="preserve">The architecture of the SABRE output file was advanced significantly. The design is now near-final pending two confirmations. The table below documents the technical decisions agreed during the call.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Design Element</w:t>
            </w:r>
          </w:p>
        </w:tc>
        <w:tc>
          <w:tcPr>
            <w:tcW w:type="dxa" w:w="338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w:t>
            </w:r>
          </w:p>
        </w:tc>
        <w:tc>
          <w:tcPr>
            <w:tcW w:type="dxa" w:w="338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Note</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New Column</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Add one column: Total Interest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Consolidates accrued interest into a single field; avoids duplication in downstream feeds</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Currency Alignment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When IFRS flag = AMCST: map Total Interest currency → PV currency AND GM currency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Resolves edge-case mismatch between Total Interest currency and PV currency identified during Aspire testing; no new row added</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Non-AMCST Portfolios</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 change — existing Murex accrual flow remains unchanged</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Conditional logic: only AMCST account classification triggers interest accrual from SABRE; all others pass through as-is. No else-branch required</w:t>
            </w:r>
          </w:p>
        </w:tc>
      </w:tr>
      <w:tr>
        <w:tc>
          <w:tcPr>
            <w:tcW w:type="dxa" w:w="2600"/>
            <w:tcBorders>
              <w:top w:val="single" w:color="CCCCCC" w:sz="4"/>
              <w:left w:val="single" w:color="CCCCCC" w:sz="4"/>
              <w:bottom w:val="single" w:color="CCCCCC" w:sz="4"/>
              <w:right w:val="single" w:color="CCCCCC" w:sz="4"/>
            </w:tcBorders>
            <w:shd w:fill="EAF3FB" w:val="clear"/>
            <w:tcMar>
              <w:top w:type="dxa" w:w="80"/>
              <w:left w:type="dxa" w:w="120"/>
              <w:bottom w:type="dxa" w:w="80"/>
              <w:right w:type="dxa" w:w="120"/>
            </w:tcMar>
          </w:tcPr>
          <w:p>
            <w:r>
              <w:rPr>
                <w:rFonts w:ascii="Arial" w:cs="Arial" w:eastAsia="Arial" w:hAnsi="Arial"/>
                <w:b/>
                <w:bCs/>
                <w:sz w:val="20"/>
                <w:szCs w:val="20"/>
              </w:rPr>
              <w:t xml:space="preserve">Testing Coordination</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Anita informed of design; impact assessment underway</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Design confirmed with Anita; confirmation from Tony and Alan still pending before finalisation</w:t>
            </w:r>
          </w:p>
        </w:tc>
      </w:tr>
    </w:tbl>
    <w:p>
      <w:pPr>
        <w:spacing w:before="120"/>
      </w:pPr>
    </w:p>
    <w:p>
      <w:pPr>
        <w:spacing w:after="60" w:before="60"/>
      </w:pPr>
      <w:r>
        <w:rPr>
          <w:rFonts w:ascii="Arial" w:cs="Arial" w:eastAsia="Arial" w:hAnsi="Arial"/>
          <w:b/>
          <w:bCs/>
          <w:color w:val="1B3A6B"/>
          <w:sz w:val="22"/>
          <w:szCs w:val="22"/>
        </w:rPr>
        <w:t xml:space="preserve">Design principle confirmed:</w:t>
      </w:r>
    </w:p>
    <w:p>
      <w:pPr>
        <w:spacing w:after="60" w:before="60"/>
      </w:pPr>
      <w:r>
        <w:rPr>
          <w:rFonts w:ascii="Arial" w:cs="Arial" w:eastAsia="Arial" w:hAnsi="Arial"/>
          <w:sz w:val="22"/>
          <w:szCs w:val="22"/>
        </w:rPr>
        <w:t xml:space="preserve">The conditional logic is strictly: IF account classification = AMCST THEN use SABRE accrual for interest feed. There is no else-branch — non-AMCST portfolios are not in scope for interest accrual logic. This keeps the implementation clean and avoids unintended side-effects on fair value books.</w:t>
      </w:r>
    </w:p>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6.  DMV BATCH ASSESSMENT — DOWNSTREAM IMPACT</w:t>
      </w:r>
    </w:p>
    <w:p>
      <w:pPr>
        <w:spacing w:after="60" w:before="60"/>
      </w:pPr>
      <w:r>
        <w:rPr>
          <w:rFonts w:ascii="Arial" w:cs="Arial" w:eastAsia="Arial" w:hAnsi="Arial"/>
          <w:sz w:val="22"/>
          <w:szCs w:val="22"/>
        </w:rPr>
        <w:t xml:space="preserve">The DMV (Daily Mark-to-Market Valuation) batch assessment generated an action to validate downstream system impacts. Key context from the call:</w:t>
      </w:r>
    </w:p>
    <w:p>
      <w:pPr>
        <w:pStyle w:val="ListParagraph"/>
        <w:numPr>
          <w:ilvl w:val="0"/>
          <w:numId w:val="2"/>
        </w:numPr>
        <w:spacing w:after="40" w:before="40"/>
      </w:pPr>
      <w:r>
        <w:rPr>
          <w:rFonts w:ascii="Arial" w:cs="Arial" w:eastAsia="Arial" w:hAnsi="Arial"/>
          <w:sz w:val="22"/>
          <w:szCs w:val="22"/>
        </w:rPr>
        <w:t xml:space="preserve">Rakesh's email enumerated 6 downstream systems that consume DMV-derived data from AMCST portfolios</w:t>
      </w:r>
    </w:p>
    <w:p>
      <w:pPr>
        <w:pStyle w:val="ListParagraph"/>
        <w:numPr>
          <w:ilvl w:val="0"/>
          <w:numId w:val="2"/>
        </w:numPr>
        <w:spacing w:after="40" w:before="40"/>
      </w:pPr>
      <w:r>
        <w:rPr>
          <w:rFonts w:ascii="Arial" w:cs="Arial" w:eastAsia="Arial" w:hAnsi="Arial"/>
          <w:sz w:val="22"/>
          <w:szCs w:val="22"/>
        </w:rPr>
        <w:t xml:space="preserve">Key use cases driven by DMV values have already been identified by Aspire users</w:t>
      </w:r>
    </w:p>
    <w:p>
      <w:pPr>
        <w:pStyle w:val="ListParagraph"/>
        <w:numPr>
          <w:ilvl w:val="0"/>
          <w:numId w:val="2"/>
        </w:numPr>
        <w:spacing w:after="40" w:before="40"/>
      </w:pPr>
      <w:r>
        <w:rPr>
          <w:rFonts w:ascii="Arial" w:cs="Arial" w:eastAsia="Arial" w:hAnsi="Arial"/>
          <w:sz w:val="22"/>
          <w:szCs w:val="22"/>
        </w:rPr>
        <w:t xml:space="preserve">Cross-check of all 6 systems against the proposed SABRE-derived DMV approach has not yet been completed</w:t>
      </w:r>
    </w:p>
    <w:p>
      <w:pPr>
        <w:pStyle w:val="ListParagraph"/>
        <w:numPr>
          <w:ilvl w:val="0"/>
          <w:numId w:val="2"/>
        </w:numPr>
        <w:spacing w:after="40" w:before="40"/>
      </w:pPr>
      <w:r>
        <w:rPr>
          <w:rFonts w:ascii="Arial" w:cs="Arial" w:eastAsia="Arial" w:hAnsi="Arial"/>
          <w:sz w:val="22"/>
          <w:szCs w:val="22"/>
        </w:rPr>
        <w:t xml:space="preserve">Action assigned to Ala-Eddine to cross-reference all 6 systems and flag any discrepancies</w:t>
      </w:r>
    </w:p>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7.  KOREA TOPOLOGY — NEW ITEM RAISED</w:t>
      </w:r>
    </w:p>
    <w:p>
      <w:pPr>
        <w:spacing w:after="60" w:before="60"/>
      </w:pPr>
      <w:r>
        <w:rPr>
          <w:rFonts w:ascii="Arial" w:cs="Arial" w:eastAsia="Arial" w:hAnsi="Arial"/>
          <w:sz w:val="22"/>
          <w:szCs w:val="22"/>
        </w:rPr>
        <w:t xml:space="preserve">Korea was raised as a new agenda item, distinct from the main credit adoption scope. The topology was described as follows:</w:t>
      </w:r>
    </w:p>
    <w:p>
      <w:pPr>
        <w:spacing w:before="80"/>
      </w:pPr>
    </w:p>
    <w:p>
      <w:pPr>
        <w:pStyle w:val="Heading2"/>
        <w:spacing w:after="100" w:before="280"/>
      </w:pPr>
      <w:r>
        <w:rPr>
          <w:rFonts w:ascii="Arial" w:cs="Arial" w:eastAsia="Arial" w:hAnsi="Arial"/>
          <w:b/>
          <w:bCs/>
          <w:color w:val="2E5FA3"/>
          <w:sz w:val="24"/>
          <w:szCs w:val="24"/>
        </w:rPr>
        <w:t xml:space="preserve">7.1  Current Architecture</w:t>
      </w:r>
    </w:p>
    <w:p>
      <w:pPr>
        <w:pStyle w:val="ListParagraph"/>
        <w:numPr>
          <w:ilvl w:val="0"/>
          <w:numId w:val="2"/>
        </w:numPr>
        <w:spacing w:after="40" w:before="40"/>
      </w:pPr>
      <w:r>
        <w:rPr>
          <w:rFonts w:ascii="Arial" w:cs="Arial" w:eastAsia="Arial" w:hAnsi="Arial"/>
          <w:sz w:val="22"/>
          <w:szCs w:val="22"/>
        </w:rPr>
        <w:t xml:space="preserve">Murex GDC Korea (not Murex KR) is the current feed to FPSL for P&amp;L reporting</w:t>
      </w:r>
    </w:p>
    <w:p>
      <w:pPr>
        <w:pStyle w:val="ListParagraph"/>
        <w:numPr>
          <w:ilvl w:val="0"/>
          <w:numId w:val="2"/>
        </w:numPr>
        <w:spacing w:after="40" w:before="40"/>
      </w:pPr>
      <w:r>
        <w:rPr>
          <w:rFonts w:ascii="Arial" w:cs="Arial" w:eastAsia="Arial" w:hAnsi="Arial"/>
          <w:sz w:val="22"/>
          <w:szCs w:val="22"/>
        </w:rPr>
        <w:t xml:space="preserve">Murex KR trades ARE captured in Aspire but are NOT sent downstream — they exist in Aspire for risk purposes only (STP from IRS), not accounting/reporting</w:t>
      </w:r>
    </w:p>
    <w:p>
      <w:pPr>
        <w:pStyle w:val="ListParagraph"/>
        <w:numPr>
          <w:ilvl w:val="0"/>
          <w:numId w:val="2"/>
        </w:numPr>
        <w:spacing w:after="40" w:before="40"/>
      </w:pPr>
      <w:r>
        <w:rPr>
          <w:rFonts w:ascii="Arial" w:cs="Arial" w:eastAsia="Arial" w:hAnsi="Arial"/>
          <w:sz w:val="22"/>
          <w:szCs w:val="22"/>
        </w:rPr>
        <w:t xml:space="preserve">The GDC Korea feed to FPSL is the authoritative P&amp;L source and remains unchanged under current SABRE adoption scope</w:t>
      </w:r>
    </w:p>
    <w:p>
      <w:pPr>
        <w:spacing w:before="80"/>
      </w:pPr>
    </w:p>
    <w:p>
      <w:pPr>
        <w:pStyle w:val="Heading2"/>
        <w:spacing w:after="100" w:before="280"/>
      </w:pPr>
      <w:r>
        <w:rPr>
          <w:rFonts w:ascii="Arial" w:cs="Arial" w:eastAsia="Arial" w:hAnsi="Arial"/>
          <w:b/>
          <w:bCs/>
          <w:color w:val="2E5FA3"/>
          <w:sz w:val="24"/>
          <w:szCs w:val="24"/>
        </w:rPr>
        <w:t xml:space="preserve">7.2  Gap &amp; Resolution Path</w:t>
      </w:r>
    </w:p>
    <w:p>
      <w:pPr>
        <w:pStyle w:val="ListParagraph"/>
        <w:numPr>
          <w:ilvl w:val="0"/>
          <w:numId w:val="2"/>
        </w:numPr>
        <w:spacing w:after="40" w:before="40"/>
      </w:pPr>
      <w:r>
        <w:rPr>
          <w:rFonts w:ascii="Arial" w:cs="Arial" w:eastAsia="Arial" w:hAnsi="Arial"/>
          <w:sz w:val="22"/>
          <w:szCs w:val="22"/>
        </w:rPr>
        <w:t xml:space="preserve">SABRE adoption for credit (current programme) covers Murex KR file / KR trades — this was reportedly tested approximately two years ago</w:t>
      </w:r>
    </w:p>
    <w:p>
      <w:pPr>
        <w:pStyle w:val="ListParagraph"/>
        <w:numPr>
          <w:ilvl w:val="0"/>
          <w:numId w:val="2"/>
        </w:numPr>
        <w:spacing w:after="40" w:before="40"/>
      </w:pPr>
      <w:r>
        <w:rPr>
          <w:rFonts w:ascii="Arial" w:cs="Arial" w:eastAsia="Arial" w:hAnsi="Arial"/>
          <w:sz w:val="22"/>
          <w:szCs w:val="22"/>
        </w:rPr>
        <w:t xml:space="preserve">A separate project is required to activate the Murex Korea → Aspire downstream feed for accounting purposes</w:t>
      </w:r>
    </w:p>
    <w:p>
      <w:pPr>
        <w:pStyle w:val="ListParagraph"/>
        <w:numPr>
          <w:ilvl w:val="0"/>
          <w:numId w:val="2"/>
        </w:numPr>
        <w:spacing w:after="40" w:before="40"/>
      </w:pPr>
      <w:r>
        <w:rPr>
          <w:rFonts w:ascii="Arial" w:cs="Arial" w:eastAsia="Arial" w:hAnsi="Arial"/>
          <w:sz w:val="22"/>
          <w:szCs w:val="22"/>
        </w:rPr>
        <w:t xml:space="preserve">The GTS gap referenced in Rakesh's Friday communication is still in progress as a separate workstream</w:t>
      </w:r>
    </w:p>
    <w:p>
      <w:pPr>
        <w:pStyle w:val="ListParagraph"/>
        <w:numPr>
          <w:ilvl w:val="0"/>
          <w:numId w:val="2"/>
        </w:numPr>
        <w:spacing w:after="40" w:before="40"/>
      </w:pPr>
      <w:r>
        <w:rPr>
          <w:rFonts w:ascii="Arial" w:cs="Arial" w:eastAsia="Arial" w:hAnsi="Arial"/>
          <w:sz w:val="22"/>
          <w:szCs w:val="22"/>
        </w:rPr>
        <w:t xml:space="preserve">Ala-Eddine to organise a dedicated Korea call this week to document the topology, identify all affected books, and scope the resolution</w:t>
      </w:r>
    </w:p>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8.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4400"/>
      </w:tblGrid>
      <w:tr>
        <w:trPr>
          <w:tblHeader/>
        </w:trPr>
        <w:tc>
          <w:tcPr>
            <w:tcW w:type="dxa" w:w="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36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Decision</w:t>
            </w:r>
          </w:p>
        </w:tc>
        <w:tc>
          <w:tcPr>
            <w:tcW w:type="dxa" w:w="44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Implication</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D-01</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Full AMCST credit scope = 339 portfolios for go-live; validation limited to 119 active-trade books</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8"/>
                <w:szCs w:val="18"/>
              </w:rPr>
              <w:t xml:space="preserve">Eliminates phasing complexity; Kumar's sign-off on 119 constitutes programme-wide validation endorsement</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D-02</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SABRE PV flag cannot be applied at sub-portfolio level without additional control mechanisms</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8"/>
                <w:szCs w:val="18"/>
              </w:rPr>
              <w:t xml:space="preserve">A phased portfolio-by-portfolio rollout would require new mapping tables — currently not in scope. Full switch-on is the only clean path</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D-03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Non-AMCST portfolios are not in scope for interest accrual logic; no else-branch in file design</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8"/>
                <w:szCs w:val="18"/>
              </w:rPr>
              <w:t xml:space="preserve">Simplifies implementation significantly; Murex flow unchanged for fair value books</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D-04</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Korea Murex KR → Aspire downstream activation is a separate project; not within current SABRE adoption programme scope</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8"/>
                <w:szCs w:val="18"/>
              </w:rPr>
              <w:t xml:space="preserve">SABRE adoption for credit can proceed without Korea resolution, but Korea call needed to document the gap and assign ownership</w:t>
            </w:r>
          </w:p>
        </w:tc>
      </w:tr>
    </w:tbl>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9.  OPEN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60"/>
        <w:gridCol w:w="1600"/>
        <w:gridCol w:w="1600"/>
      </w:tblGrid>
      <w:tr>
        <w:trPr>
          <w:tblHeader/>
        </w:trPr>
        <w:tc>
          <w:tcPr>
            <w:tcW w:type="dxa" w:w="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356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R-01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NSP GL Overstatement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Three NSP portfolios may receive incorrect GL entries post-SABRE go-live if no additional PV flag control is implemented. Sub-ledger will show imbalance at trade level even if GL net is correct</w:t>
            </w:r>
          </w:p>
        </w:tc>
        <w:tc>
          <w:tcPr>
            <w:tcW w:type="dxa" w:w="16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color w:val="C55A11"/>
                <w:sz w:val="18"/>
                <w:szCs w:val="18"/>
              </w:rPr>
              <w:t xml:space="preserve">HIGH</w:t>
            </w:r>
          </w:p>
        </w:tc>
        <w:tc>
          <w:tcPr>
            <w:tcW w:type="dxa" w:w="16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color w:val="C55A11"/>
                <w:sz w:val="18"/>
                <w:szCs w:val="18"/>
              </w:rPr>
              <w:t xml:space="preserve">HIGH</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R-02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119 Book List Drift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The validation scope (119 books) is dynamic, not static. New trades post-June cutoff could add books to the active list, potentially leaving validated books uncovered</w:t>
            </w:r>
          </w:p>
        </w:tc>
        <w:tc>
          <w:tcPr>
            <w:tcW w:type="dxa" w:w="16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c>
          <w:tcPr>
            <w:tcW w:type="dxa" w:w="16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R-03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Korea Accrual Gap</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Murex Korea trades are captured in Aspire but not sent downstream. A parallel project is needed to activate the KR feed; if not resolved, SABRE adoption will have incomplete coverage for Korea entity</w:t>
            </w:r>
          </w:p>
        </w:tc>
        <w:tc>
          <w:tcPr>
            <w:tcW w:type="dxa" w:w="16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c>
          <w:tcPr>
            <w:tcW w:type="dxa" w:w="16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color w:val="C55A11"/>
                <w:sz w:val="18"/>
                <w:szCs w:val="18"/>
              </w:rPr>
              <w:t xml:space="preserve">HIGH</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R-04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DMV Downstream Impact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DMV batch assessment flagged potential impacts on 6 downstream systems. Key use cases have been identified but cross-check not yet complete</w:t>
            </w:r>
          </w:p>
        </w:tc>
        <w:tc>
          <w:tcPr>
            <w:tcW w:type="dxa" w:w="16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c>
          <w:tcPr>
            <w:tcW w:type="dxa" w:w="16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vAlign w:val="center"/>
          </w:tcPr>
          <w:p>
            <w:pPr>
              <w:jc w:val="center"/>
            </w:pPr>
            <w:r>
              <w:rPr>
                <w:rFonts w:ascii="Arial" w:cs="Arial" w:eastAsia="Arial" w:hAnsi="Arial"/>
                <w:b/>
                <w:bCs/>
                <w:color w:val="7F6000"/>
                <w:sz w:val="18"/>
                <w:szCs w:val="18"/>
              </w:rPr>
              <w:t xml:space="preserve">MEDIUM</w:t>
            </w:r>
          </w:p>
        </w:tc>
      </w:tr>
    </w:tbl>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10.  ACTION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60"/>
        <w:gridCol w:w="1400"/>
        <w:gridCol w:w="1100"/>
        <w:gridCol w:w="1400"/>
      </w:tblGrid>
      <w:tr>
        <w:trPr>
          <w:tblHeader/>
        </w:trPr>
        <w:tc>
          <w:tcPr>
            <w:tcW w:type="dxa" w:w="6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386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14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11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Due</w:t>
            </w:r>
          </w:p>
        </w:tc>
        <w:tc>
          <w:tcPr>
            <w:tcW w:type="dxa" w:w="1400"/>
            <w:tcBorders>
              <w:top w:val="single" w:color="2E5FA3" w:sz="4"/>
              <w:left w:val="single" w:color="2E5FA3" w:sz="4"/>
              <w:bottom w:val="single" w:color="2E5FA3" w:sz="4"/>
              <w:right w:val="single" w:color="2E5FA3"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A-01</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Complete accrual validation for 119 books; report all differences to team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Ala-Eddine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This Weekend</w:t>
            </w:r>
          </w:p>
        </w:tc>
        <w:tc>
          <w:tcPr>
            <w:tcW w:type="dxa" w:w="14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OPEN</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A-02</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Investigate SABRE PV flag / P&amp;L inclusion flag control for 3 NSP portfolios; determine if additional PCT2 mapping table is required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Kumar + Ala-Eddine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TBC</w:t>
            </w:r>
          </w:p>
        </w:tc>
        <w:tc>
          <w:tcPr>
            <w:tcW w:type="dxa" w:w="14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OPEN</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A-03</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Assess full extent of NSP-type issue across all AMCST books — identify any further portfolios with same topology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Ala-Eddine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This Week</w:t>
            </w:r>
          </w:p>
        </w:tc>
        <w:tc>
          <w:tcPr>
            <w:tcW w:type="dxa" w:w="14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OPEN</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A-04</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Cross-check DMV downstream impact across all 6 downstream systems (per Rakesh's email)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Ala-Eddine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This Week</w:t>
            </w:r>
          </w:p>
        </w:tc>
        <w:tc>
          <w:tcPr>
            <w:tcW w:type="dxa" w:w="1400"/>
            <w:tcBorders>
              <w:top w:val="single" w:color="CCCCCC" w:sz="4"/>
              <w:left w:val="single" w:color="CCCCCC" w:sz="4"/>
              <w:bottom w:val="single" w:color="CCCCCC" w:sz="4"/>
              <w:right w:val="single" w:color="CCCCCC" w:sz="4"/>
            </w:tcBorders>
            <w:shd w:fill="FFF2CC"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IN PROGRESS</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A-05</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Obtain confirmation from Tony and Alan on Total Interest field design; coordinate final testing plan with Anita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Ala-Eddine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This Week</w:t>
            </w:r>
          </w:p>
        </w:tc>
        <w:tc>
          <w:tcPr>
            <w:tcW w:type="dxa" w:w="14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OPEN</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A-06</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Organise Korea topology call; circulate background on Murex KR → Aspire gap and GTS issue; identify all affected books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Ala-Eddine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sz w:val="18"/>
                <w:szCs w:val="18"/>
              </w:rPr>
              <w:t xml:space="preserve">This Week</w:t>
            </w:r>
          </w:p>
        </w:tc>
        <w:tc>
          <w:tcPr>
            <w:tcW w:type="dxa" w:w="1400"/>
            <w:tcBorders>
              <w:top w:val="single" w:color="CCCCCC" w:sz="4"/>
              <w:left w:val="single" w:color="CCCCCC" w:sz="4"/>
              <w:bottom w:val="single" w:color="CCCCCC" w:sz="4"/>
              <w:right w:val="single" w:color="CCCCCC" w:sz="4"/>
            </w:tcBorders>
            <w:shd w:fill="FCE4D6"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OPEN</w:t>
            </w:r>
          </w:p>
        </w:tc>
      </w:tr>
      <w:tr>
        <w:tc>
          <w:tcPr>
            <w:tcW w:type="dxa" w:w="600"/>
            <w:tcBorders>
              <w:top w:val="single" w:color="CCCCCC" w:sz="4"/>
              <w:left w:val="single" w:color="CCCCCC" w:sz="4"/>
              <w:bottom w:val="single" w:color="CCCCCC" w:sz="4"/>
              <w:right w:val="single" w:color="CCCCCC" w:sz="4"/>
            </w:tcBorders>
            <w:shd w:fill="EAF3FB" w:val="clear"/>
            <w:tcMar>
              <w:top w:type="dxa" w:w="80"/>
              <w:left w:type="dxa" w:w="100"/>
              <w:bottom w:type="dxa" w:w="80"/>
              <w:right w:type="dxa" w:w="100"/>
            </w:tcMar>
            <w:vAlign w:val="center"/>
          </w:tcPr>
          <w:p>
            <w:pPr>
              <w:jc w:val="center"/>
            </w:pPr>
            <w:r>
              <w:rPr>
                <w:rFonts w:ascii="Arial" w:cs="Arial" w:eastAsia="Arial" w:hAnsi="Arial"/>
                <w:b/>
                <w:bCs/>
                <w:color w:val="1B3A6B"/>
                <w:sz w:val="18"/>
                <w:szCs w:val="18"/>
              </w:rPr>
              <w:t xml:space="preserve">A-07</w:t>
            </w:r>
          </w:p>
        </w:tc>
        <w:tc>
          <w:tcPr>
            <w:tcW w:type="dxa" w:w="3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Scope Definition — 339 portfolios confirmed as go-live scope; 119 used for validation with sign-off applying to full 339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sz w:val="18"/>
                <w:szCs w:val="18"/>
              </w:rPr>
              <w:t xml:space="preserve">Kumar (agreed)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DONE</w:t>
            </w:r>
          </w:p>
        </w:tc>
        <w:tc>
          <w:tcPr>
            <w:tcW w:type="dxa" w:w="14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sz w:val="18"/>
                <w:szCs w:val="18"/>
              </w:rPr>
              <w:t xml:space="preserve">✅ CLOSED</w:t>
            </w:r>
          </w:p>
        </w:tc>
      </w:tr>
    </w:tbl>
    <w:p>
      <w:pPr>
        <w:pBdr>
          <w:bottom w:val="single" w:color="CCCCCC" w:sz="4" w:space="1"/>
        </w:pBdr>
        <w:spacing w:after="200" w:before="200"/>
      </w:pPr>
    </w:p>
    <w:p>
      <w:pPr>
        <w:pStyle w:val="Heading1"/>
        <w:pBdr>
          <w:bottom w:val="single" w:color="2E5FA3" w:sz="8" w:space="4"/>
        </w:pBdr>
        <w:spacing w:after="120" w:before="360"/>
      </w:pPr>
      <w:r>
        <w:rPr>
          <w:rFonts w:ascii="Arial" w:cs="Arial" w:eastAsia="Arial" w:hAnsi="Arial"/>
          <w:b/>
          <w:bCs/>
          <w:color w:val="1B3A6B"/>
          <w:sz w:val="28"/>
          <w:szCs w:val="28"/>
        </w:rPr>
        <w:t xml:space="preserve">11.  NEXT STEPS</w:t>
      </w:r>
    </w:p>
    <w:p>
      <w:pPr>
        <w:spacing w:after="60" w:before="60"/>
      </w:pPr>
      <w:r>
        <w:rPr>
          <w:rFonts w:ascii="Arial" w:cs="Arial" w:eastAsia="Arial" w:hAnsi="Arial"/>
          <w:b/>
          <w:bCs/>
          <w:color w:val="1B3A6B"/>
          <w:sz w:val="22"/>
          <w:szCs w:val="22"/>
        </w:rPr>
        <w:t xml:space="preserve">Immediate priorities before next governance call:</w:t>
      </w:r>
    </w:p>
    <w:p>
      <w:pPr>
        <w:spacing w:before="80"/>
      </w:pPr>
    </w:p>
    <w:p>
      <w:pPr>
        <w:pStyle w:val="ListParagraph"/>
        <w:numPr>
          <w:ilvl w:val="0"/>
          <w:numId w:val="2"/>
        </w:numPr>
        <w:spacing w:after="40" w:before="40"/>
      </w:pPr>
      <w:r>
        <w:rPr>
          <w:rFonts w:ascii="Arial" w:cs="Arial" w:eastAsia="Arial" w:hAnsi="Arial"/>
          <w:b/>
          <w:bCs/>
          <w:color w:val="1B3A6B"/>
          <w:sz w:val="22"/>
          <w:szCs w:val="22"/>
        </w:rPr>
        <w:t xml:space="preserve">1. </w:t>
      </w:r>
      <w:r>
        <w:rPr>
          <w:rFonts w:ascii="Arial" w:cs="Arial" w:eastAsia="Arial" w:hAnsi="Arial"/>
          <w:sz w:val="22"/>
          <w:szCs w:val="22"/>
        </w:rPr>
        <w:t xml:space="preserve">Ala-Eddine: Complete accrual validation for 119-book scope and report results by weekend</w:t>
      </w:r>
    </w:p>
    <w:p>
      <w:pPr>
        <w:pStyle w:val="ListParagraph"/>
        <w:numPr>
          <w:ilvl w:val="0"/>
          <w:numId w:val="2"/>
        </w:numPr>
        <w:spacing w:after="40" w:before="40"/>
      </w:pPr>
      <w:r>
        <w:rPr>
          <w:rFonts w:ascii="Arial" w:cs="Arial" w:eastAsia="Arial" w:hAnsi="Arial"/>
          <w:b/>
          <w:bCs/>
          <w:color w:val="1B3A6B"/>
          <w:sz w:val="22"/>
          <w:szCs w:val="22"/>
        </w:rPr>
        <w:t xml:space="preserve">2. </w:t>
      </w:r>
      <w:r>
        <w:rPr>
          <w:rFonts w:ascii="Arial" w:cs="Arial" w:eastAsia="Arial" w:hAnsi="Arial"/>
          <w:sz w:val="22"/>
          <w:szCs w:val="22"/>
        </w:rPr>
        <w:t xml:space="preserve">Ala-Eddine: Organise Korea topology call; ensure Rakesh and relevant systems owners are included</w:t>
      </w:r>
    </w:p>
    <w:p>
      <w:pPr>
        <w:pStyle w:val="ListParagraph"/>
        <w:numPr>
          <w:ilvl w:val="0"/>
          <w:numId w:val="2"/>
        </w:numPr>
        <w:spacing w:after="40" w:before="40"/>
      </w:pPr>
      <w:r>
        <w:rPr>
          <w:rFonts w:ascii="Arial" w:cs="Arial" w:eastAsia="Arial" w:hAnsi="Arial"/>
          <w:b/>
          <w:bCs/>
          <w:color w:val="1B3A6B"/>
          <w:sz w:val="22"/>
          <w:szCs w:val="22"/>
        </w:rPr>
        <w:t xml:space="preserve">3. </w:t>
      </w:r>
      <w:r>
        <w:rPr>
          <w:rFonts w:ascii="Arial" w:cs="Arial" w:eastAsia="Arial" w:hAnsi="Arial"/>
          <w:sz w:val="22"/>
          <w:szCs w:val="22"/>
        </w:rPr>
        <w:t xml:space="preserve">Ala-Eddine: Complete DMV downstream cross-check across all 6 systems</w:t>
      </w:r>
    </w:p>
    <w:p>
      <w:pPr>
        <w:pStyle w:val="ListParagraph"/>
        <w:numPr>
          <w:ilvl w:val="0"/>
          <w:numId w:val="2"/>
        </w:numPr>
        <w:spacing w:after="40" w:before="40"/>
      </w:pPr>
      <w:r>
        <w:rPr>
          <w:rFonts w:ascii="Arial" w:cs="Arial" w:eastAsia="Arial" w:hAnsi="Arial"/>
          <w:b/>
          <w:bCs/>
          <w:color w:val="1B3A6B"/>
          <w:sz w:val="22"/>
          <w:szCs w:val="22"/>
        </w:rPr>
        <w:t xml:space="preserve">4. </w:t>
      </w:r>
      <w:r>
        <w:rPr>
          <w:rFonts w:ascii="Arial" w:cs="Arial" w:eastAsia="Arial" w:hAnsi="Arial"/>
          <w:sz w:val="22"/>
          <w:szCs w:val="22"/>
        </w:rPr>
        <w:t xml:space="preserve">Ala-Eddine / Kumar: Advance NSP portfolio solution — assess PCT2 flag control feasibility; check scope of issue beyond the 3 known portfolios</w:t>
      </w:r>
    </w:p>
    <w:p>
      <w:pPr>
        <w:pStyle w:val="ListParagraph"/>
        <w:numPr>
          <w:ilvl w:val="0"/>
          <w:numId w:val="2"/>
        </w:numPr>
        <w:spacing w:after="40" w:before="40"/>
      </w:pPr>
      <w:r>
        <w:rPr>
          <w:rFonts w:ascii="Arial" w:cs="Arial" w:eastAsia="Arial" w:hAnsi="Arial"/>
          <w:b/>
          <w:bCs/>
          <w:color w:val="1B3A6B"/>
          <w:sz w:val="22"/>
          <w:szCs w:val="22"/>
        </w:rPr>
        <w:t xml:space="preserve">5. </w:t>
      </w:r>
      <w:r>
        <w:rPr>
          <w:rFonts w:ascii="Arial" w:cs="Arial" w:eastAsia="Arial" w:hAnsi="Arial"/>
          <w:sz w:val="22"/>
          <w:szCs w:val="22"/>
        </w:rPr>
        <w:t xml:space="preserve">Ala-Eddine: Obtain Tony / Alan sign-off on Total Interest file design; update Anita on testing readiness</w:t>
      </w:r>
    </w:p>
    <w:p>
      <w:pPr>
        <w:spacing w:before="120"/>
      </w:pPr>
    </w:p>
    <w:p>
      <w:pPr>
        <w:spacing w:after="60" w:before="60"/>
      </w:pPr>
      <w:r>
        <w:rPr>
          <w:rFonts w:ascii="Arial" w:cs="Arial" w:eastAsia="Arial" w:hAnsi="Arial"/>
          <w:i/>
          <w:iCs/>
          <w:color w:val="595959"/>
          <w:sz w:val="22"/>
          <w:szCs w:val="22"/>
        </w:rPr>
        <w:t xml:space="preserve">Document prepared by: Ala-Eddine  |  Distribution: Working Group Members  |  Classification: Confidential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80"/>
    </w:pPr>
    <w:r>
      <w:rPr>
        <w:rFonts w:ascii="Arial" w:cs="Arial" w:eastAsia="Arial" w:hAnsi="Arial"/>
        <w:color w:val="595959"/>
        <w:sz w:val="18"/>
        <w:szCs w:val="18"/>
      </w:rPr>
      <w:t xml:space="preserve">April 21,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pPr>
    <w:r>
      <w:rPr>
        <w:rFonts w:ascii="Arial" w:cs="Arial" w:eastAsia="Arial" w:hAnsi="Arial"/>
        <w:color w:val="595959"/>
        <w:sz w:val="18"/>
        <w:szCs w:val="18"/>
      </w:rPr>
      <w:t xml:space="preserve">CONFIDENTIAL  |  SABRE AMCST Adoption  |  Market Risk — Standard Chartered GBS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2026-04-21T20:42:45.947Z</dcterms:created>
  <dcterms:modified xsi:type="dcterms:W3CDTF">2026-04-21T20:42:45.948Z</dcterms:modified>
</cp:coreProperties>
</file>

<file path=docProps/custom.xml><?xml version="1.0" encoding="utf-8"?>
<Properties xmlns="http://schemas.openxmlformats.org/officeDocument/2006/custom-properties" xmlns:vt="http://schemas.openxmlformats.org/officeDocument/2006/docPropsVTypes"/>
</file>