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pBdr>
      </w:pPr>
      <w:r>
        <w:t>Universal Personal Inbox and Action Assistant</w:t>
      </w:r>
    </w:p>
    <w:p>
      <w:pPr>
        <w:pStyle w:val="Subtitle"/>
      </w:pPr>
      <w:r>
        <w:t>Product requirements and technical architecture</w:t>
      </w:r>
    </w:p>
    <w:p>
      <w:r>
        <w:t>Decision brief | Version 1.0 | 30 October 2026</w:t>
      </w:r>
    </w:p>
    <w:p>
      <w:r>
        <w:t>This document defines a personal system for bringing communication and commitments into one place, starting with one operational WhatsApp account and direct text capture by the user. It is designed to help the user triage incoming messages, retain useful relationship context, identify commitments, and prepare or perform follow-up under explicit, configurable approval rules. The practical recommendation is to begin with a modular monolith on a Mac mini, SQLite, a channel adapter boundary, deterministic policy and execution, and language models only for semantic work.</w:t>
      </w:r>
    </w:p>
    <w:p>
      <w:r>
        <w:t>The WhatsApp connection method is a launch dependency to validate before implementation. The design does not assume that a personal account has an officially supported API, that message history can be imported, or that a particular bridge is permitted. The MVP should use the safest viable supported route; any less formal bridge must be treated as a constrained experiment with account, reliability, and platform-policy risks.</w:t>
      </w:r>
    </w:p>
    <w:p>
      <w:pPr>
        <w:pStyle w:val="Heading1"/>
      </w:pPr>
      <w:r>
        <w:t>Document 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376"/>
            <w:shd w:fill="24476B"/>
            <w:vAlign w:val="center"/>
          </w:tcPr>
          <w:p>
            <w:r>
              <w:rPr>
                <w:b/>
                <w:color w:val="FFFFFF"/>
                <w:sz w:val="16"/>
              </w:rPr>
              <w:t>Part</w:t>
            </w:r>
          </w:p>
        </w:tc>
        <w:tc>
          <w:tcPr>
            <w:tcW w:type="dxa" w:w="7776"/>
            <w:shd w:fill="24476B"/>
            <w:vAlign w:val="center"/>
          </w:tcPr>
          <w:p>
            <w:r>
              <w:rPr>
                <w:b/>
                <w:color w:val="FFFFFF"/>
                <w:sz w:val="16"/>
              </w:rPr>
              <w:t>What it establishes</w:t>
            </w:r>
          </w:p>
        </w:tc>
      </w:tr>
      <w:tr>
        <w:tc>
          <w:tcPr>
            <w:tcW w:type="dxa" w:w="2376"/>
            <w:vAlign w:val="center"/>
          </w:tcPr>
          <w:p>
            <w:pPr>
              <w:spacing w:after="40" w:line="240" w:lineRule="auto"/>
            </w:pPr>
            <w:r>
              <w:rPr>
                <w:sz w:val="16"/>
              </w:rPr>
              <w:t>Product requirements</w:t>
            </w:r>
          </w:p>
        </w:tc>
        <w:tc>
          <w:tcPr>
            <w:tcW w:type="dxa" w:w="7776"/>
            <w:vAlign w:val="center"/>
          </w:tcPr>
          <w:p>
            <w:pPr>
              <w:spacing w:after="40" w:line="240" w:lineRule="auto"/>
            </w:pPr>
            <w:r>
              <w:rPr>
                <w:sz w:val="16"/>
              </w:rPr>
              <w:t>Vision, users, journeys, MVP boundary, requirements, autonomy, success measures, and rollout.</w:t>
            </w:r>
          </w:p>
        </w:tc>
      </w:tr>
      <w:tr>
        <w:tc>
          <w:tcPr>
            <w:tcW w:type="dxa" w:w="2376"/>
            <w:vAlign w:val="center"/>
            <w:shd w:fill="F2F6FA"/>
          </w:tcPr>
          <w:p>
            <w:pPr>
              <w:spacing w:after="40" w:line="240" w:lineRule="auto"/>
            </w:pPr>
            <w:r>
              <w:rPr>
                <w:sz w:val="16"/>
              </w:rPr>
              <w:t>Technical architecture</w:t>
            </w:r>
          </w:p>
        </w:tc>
        <w:tc>
          <w:tcPr>
            <w:tcW w:type="dxa" w:w="7776"/>
            <w:vAlign w:val="center"/>
            <w:shd w:fill="F2F6FA"/>
          </w:tcPr>
          <w:p>
            <w:pPr>
              <w:spacing w:after="40" w:line="240" w:lineRule="auto"/>
            </w:pPr>
            <w:r>
              <w:rPr>
                <w:sz w:val="16"/>
              </w:rPr>
              <w:t>Data model, components, flow, deployment, storage, security, reliability, and technology choices.</w:t>
            </w:r>
          </w:p>
        </w:tc>
      </w:tr>
      <w:tr>
        <w:tc>
          <w:tcPr>
            <w:tcW w:type="dxa" w:w="2376"/>
            <w:vAlign w:val="center"/>
          </w:tcPr>
          <w:p>
            <w:pPr>
              <w:spacing w:after="40" w:line="240" w:lineRule="auto"/>
            </w:pPr>
            <w:r>
              <w:rPr>
                <w:sz w:val="16"/>
              </w:rPr>
              <w:t>Decision register</w:t>
            </w:r>
          </w:p>
        </w:tc>
        <w:tc>
          <w:tcPr>
            <w:tcW w:type="dxa" w:w="7776"/>
            <w:vAlign w:val="center"/>
          </w:tcPr>
          <w:p>
            <w:pPr>
              <w:spacing w:after="40" w:line="240" w:lineRule="auto"/>
            </w:pPr>
            <w:r>
              <w:rPr>
                <w:sz w:val="16"/>
              </w:rPr>
              <w:t>Choices made for the initial system and questions that must be validated before build or expansion.</w:t>
            </w:r>
          </w:p>
        </w:tc>
      </w:tr>
    </w:tbl>
    <w:p>
      <w:pPr>
        <w:spacing w:after="20"/>
      </w:pPr>
    </w:p>
    <w:p>
      <w:pPr>
        <w:pStyle w:val="Heading1"/>
      </w:pPr>
      <w:r>
        <w:t>Executive summary</w:t>
      </w:r>
    </w:p>
    <w:p>
      <w:r>
        <w:t>Build a focused personal inbox that converts communication into reviewable understanding and follow-through. WhatsApp is the first channel because it carries most of the user’s current communication; the product boundary remains channel-neutral so email, SMS, Telegram, and other sources can be added through adapters after the first channel proves useful. Direct text capture is a first-class input from day one, covering meetings, calls, and other context the system did not observe.</w:t>
      </w:r>
    </w:p>
    <w:p>
      <w:r>
        <w:t>The first release should not attempt autonomous broad communication, voice listening, calling, universal account aggregation, or deep research. It should capture, normalize, summarize, link people and conversations, extract candidate commitments, track actions and due dates, and present proposed replies or next steps. Every external side effect requires user approval initially. Later autonomy is granted by category and risk, with hard rules that model confidence alone never authorizes a sensitive action.</w:t>
      </w:r>
    </w:p>
    <w:p>
      <w:pPr>
        <w:pStyle w:val="Heading1"/>
      </w:pPr>
      <w:r>
        <w:t>1. Product definition</w:t>
      </w:r>
    </w:p>
    <w:p>
      <w:pPr>
        <w:pStyle w:val="Heading2"/>
      </w:pPr>
      <w:r>
        <w:t>1.1 Vision</w:t>
      </w:r>
    </w:p>
    <w:p>
      <w:r>
        <w:t>A universal personal inbox with communication capabilities: one trusted place to see what reached the user, what the user personally added, what matters, what was promised, and what may need a response. It should reduce missed follow-through without taking control away from the user.</w:t>
      </w:r>
    </w:p>
    <w:p>
      <w:pPr>
        <w:pStyle w:val="Heading2"/>
      </w:pPr>
      <w:r>
        <w:t>1.2 Product principles</w:t>
      </w:r>
    </w:p>
    <w:p>
      <w:pPr>
        <w:pStyle w:val="ListBullet"/>
      </w:pPr>
      <w:r>
        <w:t>One inbox, many sources: common concepts sit above channel-specific adapters.</w:t>
      </w:r>
    </w:p>
    <w:p>
      <w:pPr>
        <w:pStyle w:val="ListBullet"/>
      </w:pPr>
      <w:r>
        <w:t>Capture before automation: preserve source evidence and make the system useful even when inference is uncertain.</w:t>
      </w:r>
    </w:p>
    <w:p>
      <w:pPr>
        <w:pStyle w:val="ListBullet"/>
      </w:pPr>
      <w:r>
        <w:t>The user remains in control: separate recommendations from actions and make approval policy explicit.</w:t>
      </w:r>
    </w:p>
    <w:p>
      <w:pPr>
        <w:pStyle w:val="ListBullet"/>
      </w:pPr>
      <w:r>
        <w:t>Evidence before memory: durable relationship facts link back to the message or user note that supports them.</w:t>
      </w:r>
    </w:p>
    <w:p>
      <w:pPr>
        <w:pStyle w:val="ListBullet"/>
      </w:pPr>
      <w:r>
        <w:t>Useful without Instinct: no external agent is required for core triage, context, or action management. Integrations can be considered later as optional destinations.</w:t>
      </w:r>
    </w:p>
    <w:p>
      <w:pPr>
        <w:pStyle w:val="ListBullet"/>
      </w:pPr>
      <w:r>
        <w:t>Pragmatic operation: start as one local application and a small number of processes, with clear seams for future growth.</w:t>
      </w:r>
    </w:p>
    <w:p>
      <w:pPr>
        <w:pStyle w:val="Heading2"/>
      </w:pPr>
      <w:r>
        <w:t>1.3 Goals and non-goals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5040"/>
            <w:shd w:fill="24476B"/>
            <w:vAlign w:val="center"/>
          </w:tcPr>
          <w:p>
            <w:r>
              <w:rPr>
                <w:b/>
                <w:color w:val="FFFFFF"/>
                <w:sz w:val="16"/>
              </w:rPr>
              <w:t>Goals for MVP</w:t>
            </w:r>
          </w:p>
        </w:tc>
        <w:tc>
          <w:tcPr>
            <w:tcW w:type="dxa" w:w="5112"/>
            <w:shd w:fill="24476B"/>
            <w:vAlign w:val="center"/>
          </w:tcPr>
          <w:p>
            <w:r>
              <w:rPr>
                <w:b/>
                <w:color w:val="FFFFFF"/>
                <w:sz w:val="16"/>
              </w:rPr>
              <w:t>Not goals for MVP</w:t>
            </w:r>
          </w:p>
        </w:tc>
      </w:tr>
      <w:tr>
        <w:tc>
          <w:tcPr>
            <w:tcW w:type="dxa" w:w="5040"/>
            <w:vAlign w:val="center"/>
          </w:tcPr>
          <w:p>
            <w:pPr>
              <w:spacing w:after="40" w:line="240" w:lineRule="auto"/>
            </w:pPr>
            <w:r>
              <w:rPr>
                <w:sz w:val="16"/>
              </w:rPr>
              <w:t>One operational WhatsApp account and direct user text capture.</w:t>
            </w:r>
          </w:p>
        </w:tc>
        <w:tc>
          <w:tcPr>
            <w:tcW w:type="dxa" w:w="5112"/>
            <w:vAlign w:val="center"/>
          </w:tcPr>
          <w:p>
            <w:pPr>
              <w:spacing w:after="40" w:line="240" w:lineRule="auto"/>
            </w:pPr>
            <w:r>
              <w:rPr>
                <w:sz w:val="16"/>
              </w:rPr>
              <w:t>Supporting multiple WhatsApp accounts or every communication channel.</w:t>
            </w:r>
          </w:p>
        </w:tc>
      </w:tr>
      <w:tr>
        <w:tc>
          <w:tcPr>
            <w:tcW w:type="dxa" w:w="5040"/>
            <w:vAlign w:val="center"/>
            <w:shd w:fill="F2F6FA"/>
          </w:tcPr>
          <w:p>
            <w:pPr>
              <w:spacing w:after="40" w:line="240" w:lineRule="auto"/>
            </w:pPr>
            <w:r>
              <w:rPr>
                <w:sz w:val="16"/>
              </w:rPr>
              <w:t>Unified conversation and commitment triage with source evidence.</w:t>
            </w:r>
          </w:p>
        </w:tc>
        <w:tc>
          <w:tcPr>
            <w:tcW w:type="dxa" w:w="5112"/>
            <w:vAlign w:val="center"/>
            <w:shd w:fill="F2F6FA"/>
          </w:tcPr>
          <w:p>
            <w:pPr>
              <w:spacing w:after="40" w:line="240" w:lineRule="auto"/>
            </w:pPr>
            <w:r>
              <w:rPr>
                <w:sz w:val="16"/>
              </w:rPr>
              <w:t>Replacing the native WhatsApp client or acting as a general-purpose research agent.</w:t>
            </w:r>
          </w:p>
        </w:tc>
      </w:tr>
      <w:tr>
        <w:tc>
          <w:tcPr>
            <w:tcW w:type="dxa" w:w="5040"/>
            <w:vAlign w:val="center"/>
          </w:tcPr>
          <w:p>
            <w:pPr>
              <w:spacing w:after="40" w:line="240" w:lineRule="auto"/>
            </w:pPr>
            <w:r>
              <w:rPr>
                <w:sz w:val="16"/>
              </w:rPr>
              <w:t>Persistent people, relationship context, open actions, and review queue.</w:t>
            </w:r>
          </w:p>
        </w:tc>
        <w:tc>
          <w:tcPr>
            <w:tcW w:type="dxa" w:w="5112"/>
            <w:vAlign w:val="center"/>
          </w:tcPr>
          <w:p>
            <w:pPr>
              <w:spacing w:after="40" w:line="240" w:lineRule="auto"/>
            </w:pPr>
            <w:r>
              <w:rPr>
                <w:sz w:val="16"/>
              </w:rPr>
              <w:t>Always-on audio recording, call transcription, or automatic meeting listening.</w:t>
            </w:r>
          </w:p>
        </w:tc>
      </w:tr>
      <w:tr>
        <w:tc>
          <w:tcPr>
            <w:tcW w:type="dxa" w:w="5040"/>
            <w:vAlign w:val="center"/>
            <w:shd w:fill="F2F6FA"/>
          </w:tcPr>
          <w:p>
            <w:pPr>
              <w:spacing w:after="40" w:line="240" w:lineRule="auto"/>
            </w:pPr>
            <w:r>
              <w:rPr>
                <w:sz w:val="16"/>
              </w:rPr>
              <w:t>Draft messages and actions; require approval before any external effect.</w:t>
            </w:r>
          </w:p>
        </w:tc>
        <w:tc>
          <w:tcPr>
            <w:tcW w:type="dxa" w:w="5112"/>
            <w:vAlign w:val="center"/>
            <w:shd w:fill="F2F6FA"/>
          </w:tcPr>
          <w:p>
            <w:pPr>
              <w:spacing w:after="40" w:line="240" w:lineRule="auto"/>
            </w:pPr>
            <w:r>
              <w:rPr>
                <w:sz w:val="16"/>
              </w:rPr>
              <w:t>Autonomous sending, calling, payments, scheduling, or irreversible actions.</w:t>
            </w:r>
          </w:p>
        </w:tc>
      </w:tr>
      <w:tr>
        <w:tc>
          <w:tcPr>
            <w:tcW w:type="dxa" w:w="5040"/>
            <w:vAlign w:val="center"/>
          </w:tcPr>
          <w:p>
            <w:pPr>
              <w:spacing w:after="40" w:line="240" w:lineRule="auto"/>
            </w:pPr>
            <w:r>
              <w:rPr>
                <w:sz w:val="16"/>
              </w:rPr>
              <w:t>Local-first Mac mini deployment with backups and recovery procedures.</w:t>
            </w:r>
          </w:p>
        </w:tc>
        <w:tc>
          <w:tcPr>
            <w:tcW w:type="dxa" w:w="5112"/>
            <w:vAlign w:val="center"/>
          </w:tcPr>
          <w:p>
            <w:pPr>
              <w:spacing w:after="40" w:line="240" w:lineRule="auto"/>
            </w:pPr>
            <w:r>
              <w:rPr>
                <w:sz w:val="16"/>
              </w:rPr>
              <w:t>Multi-user cloud service, distributed microservices, or enterprise administration.</w:t>
            </w:r>
          </w:p>
        </w:tc>
      </w:tr>
    </w:tbl>
    <w:p>
      <w:pPr>
        <w:spacing w:after="20"/>
      </w:pPr>
    </w:p>
    <w:p>
      <w:pPr>
        <w:pStyle w:val="Heading2"/>
      </w:pPr>
      <w:r>
        <w:t>1.4 Product boundaries</w:t>
      </w:r>
    </w:p>
    <w:p>
      <w:r>
        <w:t>The system owns a normalized personal record of communications, user-provided context, extracted candidates, approvals, and actions. It does not claim to be the source of truth for the external channel: delivery status, message deletion, edits, reactions, and history availability remain governed by the channel and its integration. It should show provenance and synchronization status wherever those differences matter.</w:t>
      </w:r>
    </w:p>
    <w:p>
      <w:pPr>
        <w:pStyle w:val="Heading1"/>
      </w:pPr>
      <w:r>
        <w:t>2. Users and core journeys</w:t>
      </w:r>
    </w:p>
    <w:p>
      <w:pPr>
        <w:pStyle w:val="Heading2"/>
      </w:pPr>
      <w:r>
        <w:t>2.1 Primary persona</w:t>
      </w:r>
    </w:p>
    <w:p>
      <w:r>
        <w:t>The owner is a single person managing a high volume of messaging, currently dominated by WhatsApp. They need to identify what deserves attention, avoid forgetting commitments, remember relationship context, and decide when an agent may safely help. They sometimes need to add what happened in a physical meeting or phone call that the system never observed.</w:t>
      </w:r>
    </w:p>
    <w:p>
      <w:pPr>
        <w:pStyle w:val="Heading2"/>
      </w:pPr>
      <w:r>
        <w:t>2.2 Core journeys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944"/>
            <w:shd w:fill="24476B"/>
            <w:vAlign w:val="center"/>
          </w:tcPr>
          <w:p>
            <w:r>
              <w:rPr>
                <w:b/>
                <w:color w:val="FFFFFF"/>
                <w:sz w:val="15"/>
              </w:rPr>
              <w:t>Journey</w:t>
            </w:r>
          </w:p>
        </w:tc>
        <w:tc>
          <w:tcPr>
            <w:tcW w:type="dxa" w:w="5112"/>
            <w:shd w:fill="24476B"/>
            <w:vAlign w:val="center"/>
          </w:tcPr>
          <w:p>
            <w:r>
              <w:rPr>
                <w:b/>
                <w:color w:val="FFFFFF"/>
                <w:sz w:val="15"/>
              </w:rPr>
              <w:t>User experience</w:t>
            </w:r>
          </w:p>
        </w:tc>
        <w:tc>
          <w:tcPr>
            <w:tcW w:type="dxa" w:w="3240"/>
            <w:shd w:fill="24476B"/>
            <w:vAlign w:val="center"/>
          </w:tcPr>
          <w:p>
            <w:r>
              <w:rPr>
                <w:b/>
                <w:color w:val="FFFFFF"/>
                <w:sz w:val="15"/>
              </w:rPr>
              <w:t>MVP outcome</w:t>
            </w:r>
          </w:p>
        </w:tc>
      </w:tr>
      <w:tr>
        <w:tc>
          <w:tcPr>
            <w:tcW w:type="dxa" w:w="1944"/>
            <w:vAlign w:val="center"/>
          </w:tcPr>
          <w:p>
            <w:pPr>
              <w:spacing w:after="40" w:line="240" w:lineRule="auto"/>
            </w:pPr>
            <w:r>
              <w:rPr>
                <w:sz w:val="15"/>
              </w:rPr>
              <w:t>Review new WhatsApp activity</w:t>
            </w:r>
          </w:p>
        </w:tc>
        <w:tc>
          <w:tcPr>
            <w:tcW w:type="dxa" w:w="5112"/>
            <w:vAlign w:val="center"/>
          </w:tcPr>
          <w:p>
            <w:pPr>
              <w:spacing w:after="40" w:line="240" w:lineRule="auto"/>
            </w:pPr>
            <w:r>
              <w:rPr>
                <w:sz w:val="15"/>
              </w:rPr>
              <w:t>New items arrive, are grouped by conversation/person, summarized, and ranked for attention with evidence. User reviews, dismisses, or opens an item.</w:t>
            </w:r>
          </w:p>
        </w:tc>
        <w:tc>
          <w:tcPr>
            <w:tcW w:type="dxa" w:w="3240"/>
            <w:vAlign w:val="center"/>
          </w:tcPr>
          <w:p>
            <w:pPr>
              <w:spacing w:after="40" w:line="240" w:lineRule="auto"/>
            </w:pPr>
            <w:r>
              <w:rPr>
                <w:sz w:val="15"/>
              </w:rPr>
              <w:t>Clear review queue; unread/attention state is not confused with channel read receipts.</w:t>
            </w:r>
          </w:p>
        </w:tc>
      </w:tr>
      <w:tr>
        <w:tc>
          <w:tcPr>
            <w:tcW w:type="dxa" w:w="1944"/>
            <w:vAlign w:val="center"/>
            <w:shd w:fill="F2F6FA"/>
          </w:tcPr>
          <w:p>
            <w:pPr>
              <w:spacing w:after="40" w:line="240" w:lineRule="auto"/>
            </w:pPr>
            <w:r>
              <w:rPr>
                <w:sz w:val="15"/>
              </w:rPr>
              <w:t>Capture an offline commitment</w:t>
            </w:r>
          </w:p>
        </w:tc>
        <w:tc>
          <w:tcPr>
            <w:tcW w:type="dxa" w:w="5112"/>
            <w:vAlign w:val="center"/>
            <w:shd w:fill="F2F6FA"/>
          </w:tcPr>
          <w:p>
            <w:pPr>
              <w:spacing w:after="40" w:line="240" w:lineRule="auto"/>
            </w:pPr>
            <w:r>
              <w:rPr>
                <w:sz w:val="15"/>
              </w:rPr>
              <w:t>User types or pastes a note such as “Met Maya today; send the revised proposal by Friday.”</w:t>
            </w:r>
          </w:p>
        </w:tc>
        <w:tc>
          <w:tcPr>
            <w:tcW w:type="dxa" w:w="3240"/>
            <w:vAlign w:val="center"/>
            <w:shd w:fill="F2F6FA"/>
          </w:tcPr>
          <w:p>
            <w:pPr>
              <w:spacing w:after="40" w:line="240" w:lineRule="auto"/>
            </w:pPr>
            <w:r>
              <w:rPr>
                <w:sz w:val="15"/>
              </w:rPr>
              <w:t>Saved as user-originated evidence; people, action, date, and uncertainty are suggested for confirmation.</w:t>
            </w:r>
          </w:p>
        </w:tc>
      </w:tr>
      <w:tr>
        <w:tc>
          <w:tcPr>
            <w:tcW w:type="dxa" w:w="1944"/>
            <w:vAlign w:val="center"/>
          </w:tcPr>
          <w:p>
            <w:pPr>
              <w:spacing w:after="40" w:line="240" w:lineRule="auto"/>
            </w:pPr>
            <w:r>
              <w:rPr>
                <w:sz w:val="15"/>
              </w:rPr>
              <w:t>Track follow-through</w:t>
            </w:r>
          </w:p>
        </w:tc>
        <w:tc>
          <w:tcPr>
            <w:tcW w:type="dxa" w:w="5112"/>
            <w:vAlign w:val="center"/>
          </w:tcPr>
          <w:p>
            <w:pPr>
              <w:spacing w:after="40" w:line="240" w:lineRule="auto"/>
            </w:pPr>
            <w:r>
              <w:rPr>
                <w:sz w:val="15"/>
              </w:rPr>
              <w:t>User opens an action, sees its origin, due date, status, and related conversation, then completes, reschedules, or drafts a response.</w:t>
            </w:r>
          </w:p>
        </w:tc>
        <w:tc>
          <w:tcPr>
            <w:tcW w:type="dxa" w:w="3240"/>
            <w:vAlign w:val="center"/>
          </w:tcPr>
          <w:p>
            <w:pPr>
              <w:spacing w:after="40" w:line="240" w:lineRule="auto"/>
            </w:pPr>
            <w:r>
              <w:rPr>
                <w:sz w:val="15"/>
              </w:rPr>
              <w:t>Action lifecycle and source trail are visible and editable.</w:t>
            </w:r>
          </w:p>
        </w:tc>
      </w:tr>
      <w:tr>
        <w:tc>
          <w:tcPr>
            <w:tcW w:type="dxa" w:w="1944"/>
            <w:vAlign w:val="center"/>
            <w:shd w:fill="F2F6FA"/>
          </w:tcPr>
          <w:p>
            <w:pPr>
              <w:spacing w:after="40" w:line="240" w:lineRule="auto"/>
            </w:pPr>
            <w:r>
              <w:rPr>
                <w:sz w:val="15"/>
              </w:rPr>
              <w:t>Prepare a reply</w:t>
            </w:r>
          </w:p>
        </w:tc>
        <w:tc>
          <w:tcPr>
            <w:tcW w:type="dxa" w:w="5112"/>
            <w:vAlign w:val="center"/>
            <w:shd w:fill="F2F6FA"/>
          </w:tcPr>
          <w:p>
            <w:pPr>
              <w:spacing w:after="40" w:line="240" w:lineRule="auto"/>
            </w:pPr>
            <w:r>
              <w:rPr>
                <w:sz w:val="15"/>
              </w:rPr>
              <w:t>Assistant proposes a reply grounded in selected messages and relationship context. User edits and approves sending.</w:t>
            </w:r>
          </w:p>
        </w:tc>
        <w:tc>
          <w:tcPr>
            <w:tcW w:type="dxa" w:w="3240"/>
            <w:vAlign w:val="center"/>
            <w:shd w:fill="F2F6FA"/>
          </w:tcPr>
          <w:p>
            <w:pPr>
              <w:spacing w:after="40" w:line="240" w:lineRule="auto"/>
            </w:pPr>
            <w:r>
              <w:rPr>
                <w:sz w:val="15"/>
              </w:rPr>
              <w:t>A draft is distinct from a sent message; approved attempt and resulting status are recorded.</w:t>
            </w:r>
          </w:p>
        </w:tc>
      </w:tr>
      <w:tr>
        <w:tc>
          <w:tcPr>
            <w:tcW w:type="dxa" w:w="1944"/>
            <w:vAlign w:val="center"/>
          </w:tcPr>
          <w:p>
            <w:pPr>
              <w:spacing w:after="40" w:line="240" w:lineRule="auto"/>
            </w:pPr>
            <w:r>
              <w:rPr>
                <w:sz w:val="15"/>
              </w:rPr>
              <w:t>Correct the system</w:t>
            </w:r>
          </w:p>
        </w:tc>
        <w:tc>
          <w:tcPr>
            <w:tcW w:type="dxa" w:w="5112"/>
            <w:vAlign w:val="center"/>
          </w:tcPr>
          <w:p>
            <w:pPr>
              <w:spacing w:after="40" w:line="240" w:lineRule="auto"/>
            </w:pPr>
            <w:r>
              <w:rPr>
                <w:sz w:val="15"/>
              </w:rPr>
              <w:t>User rejects an extraction, edits a fact, merges identities, or marks an item important.</w:t>
            </w:r>
          </w:p>
        </w:tc>
        <w:tc>
          <w:tcPr>
            <w:tcW w:type="dxa" w:w="3240"/>
            <w:vAlign w:val="center"/>
          </w:tcPr>
          <w:p>
            <w:pPr>
              <w:spacing w:after="40" w:line="240" w:lineRule="auto"/>
            </w:pPr>
            <w:r>
              <w:rPr>
                <w:sz w:val="15"/>
              </w:rPr>
              <w:t>Corrections become explicit data and may inform future ranking without silently changing evidence.</w:t>
            </w:r>
          </w:p>
        </w:tc>
      </w:tr>
    </w:tbl>
    <w:p>
      <w:pPr>
        <w:spacing w:after="20"/>
      </w:pPr>
    </w:p>
    <w:p>
      <w:pPr>
        <w:pStyle w:val="Heading1"/>
      </w:pPr>
      <w:r>
        <w:t>3. Scope and requirements</w:t>
      </w:r>
    </w:p>
    <w:p>
      <w:pPr>
        <w:pStyle w:val="Heading2"/>
      </w:pPr>
      <w:r>
        <w:t>3.1 MVP scope</w:t>
      </w:r>
    </w:p>
    <w:p>
      <w:pPr>
        <w:pStyle w:val="ListBullet"/>
      </w:pPr>
      <w:r>
        <w:t>One owner profile and one configured WhatsApp account/channel connection.</w:t>
      </w:r>
    </w:p>
    <w:p>
      <w:pPr>
        <w:pStyle w:val="ListBullet"/>
      </w:pPr>
      <w:r>
        <w:t>Channel-neutral ingestion contract and canonical conversation/message representation.</w:t>
      </w:r>
    </w:p>
    <w:p>
      <w:pPr>
        <w:pStyle w:val="ListBullet"/>
      </w:pPr>
      <w:r>
        <w:t>Direct text capture interface available from day one, with source type “user note” and optional person, date, and context.</w:t>
      </w:r>
    </w:p>
    <w:p>
      <w:pPr>
        <w:pStyle w:val="ListBullet"/>
      </w:pPr>
      <w:r>
        <w:t>Inbox queue for new, important, waiting, and action-needed items; filters and search across available records.</w:t>
      </w:r>
    </w:p>
    <w:p>
      <w:pPr>
        <w:pStyle w:val="ListBullet"/>
      </w:pPr>
      <w:r>
        <w:t>Semantic classification: likely importance, urgency, request, commitment, and candidate next action, each with confidence and evidence spans or references.</w:t>
      </w:r>
    </w:p>
    <w:p>
      <w:pPr>
        <w:pStyle w:val="ListBullet"/>
      </w:pPr>
      <w:r>
        <w:t>People and relationship records with confirmed facts, aliases, interaction history, and links to evidence.</w:t>
      </w:r>
    </w:p>
    <w:p>
      <w:pPr>
        <w:pStyle w:val="ListBullet"/>
      </w:pPr>
      <w:r>
        <w:t>Action tracking: open, waiting, done, dismissed; optional due date, owner, reminder, and origin evidence.</w:t>
      </w:r>
    </w:p>
    <w:p>
      <w:pPr>
        <w:pStyle w:val="ListBullet"/>
      </w:pPr>
      <w:r>
        <w:t>Reply drafting and an explicit approval workflow; sending is allowed only if the chosen WhatsApp integration supports it and the user approves the exact destination and content.</w:t>
      </w:r>
    </w:p>
    <w:p>
      <w:pPr>
        <w:pStyle w:val="ListBullet"/>
      </w:pPr>
      <w:r>
        <w:t>Policy configuration set to approval required for all external effects in the initial release.</w:t>
      </w:r>
    </w:p>
    <w:p>
      <w:pPr>
        <w:pStyle w:val="ListBullet"/>
      </w:pPr>
      <w:r>
        <w:t>Local status, backup, restore, error visibility, and a way to pause channel processing.</w:t>
      </w:r>
    </w:p>
    <w:p>
      <w:pPr>
        <w:pStyle w:val="Heading2"/>
      </w:pPr>
      <w:r>
        <w:t>3.2 Explicitly deferred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3456"/>
            <w:shd w:fill="24476B"/>
            <w:vAlign w:val="center"/>
          </w:tcPr>
          <w:p>
            <w:r>
              <w:rPr>
                <w:b/>
                <w:color w:val="FFFFFF"/>
                <w:sz w:val="16"/>
              </w:rPr>
              <w:t>Deferred capability</w:t>
            </w:r>
          </w:p>
        </w:tc>
        <w:tc>
          <w:tcPr>
            <w:tcW w:type="dxa" w:w="6768"/>
            <w:shd w:fill="24476B"/>
            <w:vAlign w:val="center"/>
          </w:tcPr>
          <w:p>
            <w:r>
              <w:rPr>
                <w:b/>
                <w:color w:val="FFFFFF"/>
                <w:sz w:val="16"/>
              </w:rPr>
              <w:t>Reason / entry condition</w:t>
            </w:r>
          </w:p>
        </w:tc>
      </w:tr>
      <w:tr>
        <w:tc>
          <w:tcPr>
            <w:tcW w:type="dxa" w:w="3456"/>
            <w:vAlign w:val="center"/>
          </w:tcPr>
          <w:p>
            <w:pPr>
              <w:spacing w:after="40" w:line="240" w:lineRule="auto"/>
            </w:pPr>
            <w:r>
              <w:rPr>
                <w:sz w:val="16"/>
              </w:rPr>
              <w:t>Additional WhatsApp accounts and other people’s accounts</w:t>
            </w:r>
          </w:p>
        </w:tc>
        <w:tc>
          <w:tcPr>
            <w:tcW w:type="dxa" w:w="6768"/>
            <w:vAlign w:val="center"/>
          </w:tcPr>
          <w:p>
            <w:pPr>
              <w:spacing w:after="40" w:line="240" w:lineRule="auto"/>
            </w:pPr>
            <w:r>
              <w:rPr>
                <w:sz w:val="16"/>
              </w:rPr>
              <w:t>Add only after account isolation, permissions, and the first account’s value are demonstrated.</w:t>
            </w:r>
          </w:p>
        </w:tc>
      </w:tr>
      <w:tr>
        <w:tc>
          <w:tcPr>
            <w:tcW w:type="dxa" w:w="3456"/>
            <w:vAlign w:val="center"/>
            <w:shd w:fill="F2F6FA"/>
          </w:tcPr>
          <w:p>
            <w:pPr>
              <w:spacing w:after="40" w:line="240" w:lineRule="auto"/>
            </w:pPr>
            <w:r>
              <w:rPr>
                <w:sz w:val="16"/>
              </w:rPr>
              <w:t>Email, SMS, Telegram, calendar, and other channels</w:t>
            </w:r>
          </w:p>
        </w:tc>
        <w:tc>
          <w:tcPr>
            <w:tcW w:type="dxa" w:w="6768"/>
            <w:vAlign w:val="center"/>
            <w:shd w:fill="F2F6FA"/>
          </w:tcPr>
          <w:p>
            <w:pPr>
              <w:spacing w:after="40" w:line="240" w:lineRule="auto"/>
            </w:pPr>
            <w:r>
              <w:rPr>
                <w:sz w:val="16"/>
              </w:rPr>
              <w:t>Add adapters based on user value and verified integration access; preserve the shared canonical model.</w:t>
            </w:r>
          </w:p>
        </w:tc>
      </w:tr>
      <w:tr>
        <w:tc>
          <w:tcPr>
            <w:tcW w:type="dxa" w:w="3456"/>
            <w:vAlign w:val="center"/>
          </w:tcPr>
          <w:p>
            <w:pPr>
              <w:spacing w:after="40" w:line="240" w:lineRule="auto"/>
            </w:pPr>
            <w:r>
              <w:rPr>
                <w:sz w:val="16"/>
              </w:rPr>
              <w:t>Automatic sending or unattended follow-up</w:t>
            </w:r>
          </w:p>
        </w:tc>
        <w:tc>
          <w:tcPr>
            <w:tcW w:type="dxa" w:w="6768"/>
            <w:vAlign w:val="center"/>
          </w:tcPr>
          <w:p>
            <w:pPr>
              <w:spacing w:after="40" w:line="240" w:lineRule="auto"/>
            </w:pPr>
            <w:r>
              <w:rPr>
                <w:sz w:val="16"/>
              </w:rPr>
              <w:t>Requires demonstrated reliability, explicit policy configuration, auditability, and category-specific risk review.</w:t>
            </w:r>
          </w:p>
        </w:tc>
      </w:tr>
      <w:tr>
        <w:tc>
          <w:tcPr>
            <w:tcW w:type="dxa" w:w="3456"/>
            <w:vAlign w:val="center"/>
            <w:shd w:fill="F2F6FA"/>
          </w:tcPr>
          <w:p>
            <w:pPr>
              <w:spacing w:after="40" w:line="240" w:lineRule="auto"/>
            </w:pPr>
            <w:r>
              <w:rPr>
                <w:sz w:val="16"/>
              </w:rPr>
              <w:t>Voice listening, call recording, transcription, and calling</w:t>
            </w:r>
          </w:p>
        </w:tc>
        <w:tc>
          <w:tcPr>
            <w:tcW w:type="dxa" w:w="6768"/>
            <w:vAlign w:val="center"/>
            <w:shd w:fill="F2F6FA"/>
          </w:tcPr>
          <w:p>
            <w:pPr>
              <w:spacing w:after="40" w:line="240" w:lineRule="auto"/>
            </w:pPr>
            <w:r>
              <w:rPr>
                <w:sz w:val="16"/>
              </w:rPr>
              <w:t>Outside initial need; involves consent, jurisdiction, device, and operational constraints.</w:t>
            </w:r>
          </w:p>
        </w:tc>
      </w:tr>
      <w:tr>
        <w:tc>
          <w:tcPr>
            <w:tcW w:type="dxa" w:w="3456"/>
            <w:vAlign w:val="center"/>
          </w:tcPr>
          <w:p>
            <w:pPr>
              <w:spacing w:after="40" w:line="240" w:lineRule="auto"/>
            </w:pPr>
            <w:r>
              <w:rPr>
                <w:sz w:val="16"/>
              </w:rPr>
              <w:t>Instinct or other agent handoff</w:t>
            </w:r>
          </w:p>
        </w:tc>
        <w:tc>
          <w:tcPr>
            <w:tcW w:type="dxa" w:w="6768"/>
            <w:vAlign w:val="center"/>
          </w:tcPr>
          <w:p>
            <w:pPr>
              <w:spacing w:after="40" w:line="240" w:lineRule="auto"/>
            </w:pPr>
            <w:r>
              <w:rPr>
                <w:sz w:val="16"/>
              </w:rPr>
              <w:t>Optional future integration; core triage and action management must work without it.</w:t>
            </w:r>
          </w:p>
        </w:tc>
      </w:tr>
      <w:tr>
        <w:tc>
          <w:tcPr>
            <w:tcW w:type="dxa" w:w="3456"/>
            <w:vAlign w:val="center"/>
            <w:shd w:fill="F2F6FA"/>
          </w:tcPr>
          <w:p>
            <w:pPr>
              <w:spacing w:after="40" w:line="240" w:lineRule="auto"/>
            </w:pPr>
            <w:r>
              <w:rPr>
                <w:sz w:val="16"/>
              </w:rPr>
              <w:t>Cloud sync, mobile clients, collaboration, and multi-user workspaces</w:t>
            </w:r>
          </w:p>
        </w:tc>
        <w:tc>
          <w:tcPr>
            <w:tcW w:type="dxa" w:w="6768"/>
            <w:vAlign w:val="center"/>
            <w:shd w:fill="F2F6FA"/>
          </w:tcPr>
          <w:p>
            <w:pPr>
              <w:spacing w:after="40" w:line="240" w:lineRule="auto"/>
            </w:pPr>
            <w:r>
              <w:rPr>
                <w:sz w:val="16"/>
              </w:rPr>
              <w:t>Not required for a personal local-first MVP.</w:t>
            </w:r>
          </w:p>
        </w:tc>
      </w:tr>
    </w:tbl>
    <w:p>
      <w:pPr>
        <w:spacing w:after="20"/>
      </w:pPr>
    </w:p>
    <w:p>
      <w:pPr>
        <w:pStyle w:val="Heading2"/>
      </w:pPr>
      <w:r>
        <w:t>3.3 Functional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1944"/>
            <w:shd w:fill="24476B"/>
            <w:vAlign w:val="center"/>
          </w:tcPr>
          <w:p>
            <w:r>
              <w:rPr>
                <w:b/>
                <w:color w:val="FFFFFF"/>
                <w:sz w:val="15"/>
              </w:rPr>
              <w:t>ID / area</w:t>
            </w:r>
          </w:p>
        </w:tc>
        <w:tc>
          <w:tcPr>
            <w:tcW w:type="dxa" w:w="8280"/>
            <w:shd w:fill="24476B"/>
            <w:vAlign w:val="center"/>
          </w:tcPr>
          <w:p>
            <w:r>
              <w:rPr>
                <w:b/>
                <w:color w:val="FFFFFF"/>
                <w:sz w:val="15"/>
              </w:rPr>
              <w:t>Requirement</w:t>
            </w:r>
          </w:p>
        </w:tc>
      </w:tr>
      <w:tr>
        <w:tc>
          <w:tcPr>
            <w:tcW w:type="dxa" w:w="1944"/>
            <w:vAlign w:val="center"/>
          </w:tcPr>
          <w:p>
            <w:pPr>
              <w:spacing w:after="40" w:line="240" w:lineRule="auto"/>
            </w:pPr>
            <w:r>
              <w:rPr>
                <w:sz w:val="15"/>
              </w:rPr>
              <w:t>FR-01 Capture</w:t>
            </w:r>
          </w:p>
        </w:tc>
        <w:tc>
          <w:tcPr>
            <w:tcW w:type="dxa" w:w="8280"/>
            <w:vAlign w:val="center"/>
          </w:tcPr>
          <w:p>
            <w:pPr>
              <w:spacing w:after="40" w:line="240" w:lineRule="auto"/>
            </w:pPr>
            <w:r>
              <w:rPr>
                <w:sz w:val="15"/>
              </w:rPr>
              <w:t>Ingest messages from the configured channel and accept direct text capture at any time. Preserve original content, source identifier when available, timestamps, and ingestion time.</w:t>
            </w:r>
          </w:p>
        </w:tc>
      </w:tr>
      <w:tr>
        <w:tc>
          <w:tcPr>
            <w:tcW w:type="dxa" w:w="1944"/>
            <w:vAlign w:val="center"/>
            <w:shd w:fill="F2F6FA"/>
          </w:tcPr>
          <w:p>
            <w:pPr>
              <w:spacing w:after="40" w:line="240" w:lineRule="auto"/>
            </w:pPr>
            <w:r>
              <w:rPr>
                <w:sz w:val="15"/>
              </w:rPr>
              <w:t>FR-02 Normalize</w:t>
            </w:r>
          </w:p>
        </w:tc>
        <w:tc>
          <w:tcPr>
            <w:tcW w:type="dxa" w:w="8280"/>
            <w:vAlign w:val="center"/>
            <w:shd w:fill="F2F6FA"/>
          </w:tcPr>
          <w:p>
            <w:pPr>
              <w:spacing w:after="40" w:line="240" w:lineRule="auto"/>
            </w:pPr>
            <w:r>
              <w:rPr>
                <w:sz w:val="15"/>
              </w:rPr>
              <w:t>Map source records into canonical messages and conversations; retain channel-specific metadata separately and tolerate unavailable fields.</w:t>
            </w:r>
          </w:p>
        </w:tc>
      </w:tr>
      <w:tr>
        <w:tc>
          <w:tcPr>
            <w:tcW w:type="dxa" w:w="1944"/>
            <w:vAlign w:val="center"/>
          </w:tcPr>
          <w:p>
            <w:pPr>
              <w:spacing w:after="40" w:line="240" w:lineRule="auto"/>
            </w:pPr>
            <w:r>
              <w:rPr>
                <w:sz w:val="15"/>
              </w:rPr>
              <w:t>FR-03 Deduplicate</w:t>
            </w:r>
          </w:p>
        </w:tc>
        <w:tc>
          <w:tcPr>
            <w:tcW w:type="dxa" w:w="8280"/>
            <w:vAlign w:val="center"/>
          </w:tcPr>
          <w:p>
            <w:pPr>
              <w:spacing w:after="40" w:line="240" w:lineRule="auto"/>
            </w:pPr>
            <w:r>
              <w:rPr>
                <w:sz w:val="15"/>
              </w:rPr>
              <w:t>Use stable provider identifiers when available; otherwise apply conservative deduplication and retain provenance for uncertain matches.</w:t>
            </w:r>
          </w:p>
        </w:tc>
      </w:tr>
      <w:tr>
        <w:tc>
          <w:tcPr>
            <w:tcW w:type="dxa" w:w="1944"/>
            <w:vAlign w:val="center"/>
            <w:shd w:fill="F2F6FA"/>
          </w:tcPr>
          <w:p>
            <w:pPr>
              <w:spacing w:after="40" w:line="240" w:lineRule="auto"/>
            </w:pPr>
            <w:r>
              <w:rPr>
                <w:sz w:val="15"/>
              </w:rPr>
              <w:t>FR-04 Triage</w:t>
            </w:r>
          </w:p>
        </w:tc>
        <w:tc>
          <w:tcPr>
            <w:tcW w:type="dxa" w:w="8280"/>
            <w:vAlign w:val="center"/>
            <w:shd w:fill="F2F6FA"/>
          </w:tcPr>
          <w:p>
            <w:pPr>
              <w:spacing w:after="40" w:line="240" w:lineRule="auto"/>
            </w:pPr>
            <w:r>
              <w:rPr>
                <w:sz w:val="15"/>
              </w:rPr>
              <w:t>Classify messages and conversation state into attention, urgency, request, question, commitment, and informational categories. Provide a concise explanation and evidence link.</w:t>
            </w:r>
          </w:p>
        </w:tc>
      </w:tr>
      <w:tr>
        <w:tc>
          <w:tcPr>
            <w:tcW w:type="dxa" w:w="1944"/>
            <w:vAlign w:val="center"/>
          </w:tcPr>
          <w:p>
            <w:pPr>
              <w:spacing w:after="40" w:line="240" w:lineRule="auto"/>
            </w:pPr>
            <w:r>
              <w:rPr>
                <w:sz w:val="15"/>
              </w:rPr>
              <w:t>FR-05 Manage review</w:t>
            </w:r>
          </w:p>
        </w:tc>
        <w:tc>
          <w:tcPr>
            <w:tcW w:type="dxa" w:w="8280"/>
            <w:vAlign w:val="center"/>
          </w:tcPr>
          <w:p>
            <w:pPr>
              <w:spacing w:after="40" w:line="240" w:lineRule="auto"/>
            </w:pPr>
            <w:r>
              <w:rPr>
                <w:sz w:val="15"/>
              </w:rPr>
              <w:t>Allow user to mark reviewed, important, snoozed, action-needed, or dismissed; show synchronization and analysis failures.</w:t>
            </w:r>
          </w:p>
        </w:tc>
      </w:tr>
      <w:tr>
        <w:tc>
          <w:tcPr>
            <w:tcW w:type="dxa" w:w="1944"/>
            <w:vAlign w:val="center"/>
            <w:shd w:fill="F2F6FA"/>
          </w:tcPr>
          <w:p>
            <w:pPr>
              <w:spacing w:after="40" w:line="240" w:lineRule="auto"/>
            </w:pPr>
            <w:r>
              <w:rPr>
                <w:sz w:val="15"/>
              </w:rPr>
              <w:t>FR-06 Capture context</w:t>
            </w:r>
          </w:p>
        </w:tc>
        <w:tc>
          <w:tcPr>
            <w:tcW w:type="dxa" w:w="8280"/>
            <w:vAlign w:val="center"/>
            <w:shd w:fill="F2F6FA"/>
          </w:tcPr>
          <w:p>
            <w:pPr>
              <w:spacing w:after="40" w:line="240" w:lineRule="auto"/>
            </w:pPr>
            <w:r>
              <w:rPr>
                <w:sz w:val="15"/>
              </w:rPr>
              <w:t>Allow notes for offline meetings and calls, including a user-selected person and date. Notes remain distinct from observed channel messages.</w:t>
            </w:r>
          </w:p>
        </w:tc>
      </w:tr>
      <w:tr>
        <w:tc>
          <w:tcPr>
            <w:tcW w:type="dxa" w:w="1944"/>
            <w:vAlign w:val="center"/>
          </w:tcPr>
          <w:p>
            <w:pPr>
              <w:spacing w:after="40" w:line="240" w:lineRule="auto"/>
            </w:pPr>
            <w:r>
              <w:rPr>
                <w:sz w:val="15"/>
              </w:rPr>
              <w:t>FR-07 Maintain memory</w:t>
            </w:r>
          </w:p>
        </w:tc>
        <w:tc>
          <w:tcPr>
            <w:tcW w:type="dxa" w:w="8280"/>
            <w:vAlign w:val="center"/>
          </w:tcPr>
          <w:p>
            <w:pPr>
              <w:spacing w:after="40" w:line="240" w:lineRule="auto"/>
            </w:pPr>
            <w:r>
              <w:rPr>
                <w:sz w:val="15"/>
              </w:rPr>
              <w:t>Store person attributes and relationship facts with source, confidence, confirmation status, timestamps, and correction history.</w:t>
            </w:r>
          </w:p>
        </w:tc>
      </w:tr>
      <w:tr>
        <w:tc>
          <w:tcPr>
            <w:tcW w:type="dxa" w:w="1944"/>
            <w:vAlign w:val="center"/>
            <w:shd w:fill="F2F6FA"/>
          </w:tcPr>
          <w:p>
            <w:pPr>
              <w:spacing w:after="40" w:line="240" w:lineRule="auto"/>
            </w:pPr>
            <w:r>
              <w:rPr>
                <w:sz w:val="15"/>
              </w:rPr>
              <w:t>FR-08 Track actions</w:t>
            </w:r>
          </w:p>
        </w:tc>
        <w:tc>
          <w:tcPr>
            <w:tcW w:type="dxa" w:w="8280"/>
            <w:vAlign w:val="center"/>
            <w:shd w:fill="F2F6FA"/>
          </w:tcPr>
          <w:p>
            <w:pPr>
              <w:spacing w:after="40" w:line="240" w:lineRule="auto"/>
            </w:pPr>
            <w:r>
              <w:rPr>
                <w:sz w:val="15"/>
              </w:rPr>
              <w:t>Create, edit, assign to self/other, link to evidence, set due date, snooze, complete, dismiss, or mark waiting.</w:t>
            </w:r>
          </w:p>
        </w:tc>
      </w:tr>
      <w:tr>
        <w:tc>
          <w:tcPr>
            <w:tcW w:type="dxa" w:w="1944"/>
            <w:vAlign w:val="center"/>
          </w:tcPr>
          <w:p>
            <w:pPr>
              <w:spacing w:after="40" w:line="240" w:lineRule="auto"/>
            </w:pPr>
            <w:r>
              <w:rPr>
                <w:sz w:val="15"/>
              </w:rPr>
              <w:t>FR-09 Draft communication</w:t>
            </w:r>
          </w:p>
        </w:tc>
        <w:tc>
          <w:tcPr>
            <w:tcW w:type="dxa" w:w="8280"/>
            <w:vAlign w:val="center"/>
          </w:tcPr>
          <w:p>
            <w:pPr>
              <w:spacing w:after="40" w:line="240" w:lineRule="auto"/>
            </w:pPr>
            <w:r>
              <w:rPr>
                <w:sz w:val="15"/>
              </w:rPr>
              <w:t>Generate a proposed response from explicitly selected context; show the message, recipient, and relevant source material before approval.</w:t>
            </w:r>
          </w:p>
        </w:tc>
      </w:tr>
      <w:tr>
        <w:tc>
          <w:tcPr>
            <w:tcW w:type="dxa" w:w="1944"/>
            <w:vAlign w:val="center"/>
            <w:shd w:fill="F2F6FA"/>
          </w:tcPr>
          <w:p>
            <w:pPr>
              <w:spacing w:after="40" w:line="240" w:lineRule="auto"/>
            </w:pPr>
            <w:r>
              <w:rPr>
                <w:sz w:val="15"/>
              </w:rPr>
              <w:t>FR-10 Gate side effects</w:t>
            </w:r>
          </w:p>
        </w:tc>
        <w:tc>
          <w:tcPr>
            <w:tcW w:type="dxa" w:w="8280"/>
            <w:vAlign w:val="center"/>
            <w:shd w:fill="F2F6FA"/>
          </w:tcPr>
          <w:p>
            <w:pPr>
              <w:spacing w:after="40" w:line="240" w:lineRule="auto"/>
            </w:pPr>
            <w:r>
              <w:rPr>
                <w:sz w:val="15"/>
              </w:rPr>
              <w:t>Evaluate every external action against deterministic policy immediately before execution; require a fresh approval bound to exact content and recipient.</w:t>
            </w:r>
          </w:p>
        </w:tc>
      </w:tr>
      <w:tr>
        <w:tc>
          <w:tcPr>
            <w:tcW w:type="dxa" w:w="1944"/>
            <w:vAlign w:val="center"/>
          </w:tcPr>
          <w:p>
            <w:pPr>
              <w:spacing w:after="40" w:line="240" w:lineRule="auto"/>
            </w:pPr>
            <w:r>
              <w:rPr>
                <w:sz w:val="15"/>
              </w:rPr>
              <w:t>FR-11 Audit</w:t>
            </w:r>
          </w:p>
        </w:tc>
        <w:tc>
          <w:tcPr>
            <w:tcW w:type="dxa" w:w="8280"/>
            <w:vAlign w:val="center"/>
          </w:tcPr>
          <w:p>
            <w:pPr>
              <w:spacing w:after="40" w:line="240" w:lineRule="auto"/>
            </w:pPr>
            <w:r>
              <w:rPr>
                <w:sz w:val="15"/>
              </w:rPr>
              <w:t>Record decisions, policy version, approval, execution attempt, result, and user correction without exposing secrets in logs.</w:t>
            </w:r>
          </w:p>
        </w:tc>
      </w:tr>
      <w:tr>
        <w:tc>
          <w:tcPr>
            <w:tcW w:type="dxa" w:w="1944"/>
            <w:vAlign w:val="center"/>
            <w:shd w:fill="F2F6FA"/>
          </w:tcPr>
          <w:p>
            <w:pPr>
              <w:spacing w:after="40" w:line="240" w:lineRule="auto"/>
            </w:pPr>
            <w:r>
              <w:rPr>
                <w:sz w:val="15"/>
              </w:rPr>
              <w:t>FR-12 Search and export</w:t>
            </w:r>
          </w:p>
        </w:tc>
        <w:tc>
          <w:tcPr>
            <w:tcW w:type="dxa" w:w="8280"/>
            <w:vAlign w:val="center"/>
            <w:shd w:fill="F2F6FA"/>
          </w:tcPr>
          <w:p>
            <w:pPr>
              <w:spacing w:after="40" w:line="240" w:lineRule="auto"/>
            </w:pPr>
            <w:r>
              <w:rPr>
                <w:sz w:val="15"/>
              </w:rPr>
              <w:t>Search people, messages, notes, and actions locally; provide a documented export and a backup that can be restored.</w:t>
            </w:r>
          </w:p>
        </w:tc>
      </w:tr>
      <w:tr>
        <w:tc>
          <w:tcPr>
            <w:tcW w:type="dxa" w:w="1944"/>
            <w:vAlign w:val="center"/>
          </w:tcPr>
          <w:p>
            <w:pPr>
              <w:spacing w:after="40" w:line="240" w:lineRule="auto"/>
            </w:pPr>
            <w:r>
              <w:rPr>
                <w:sz w:val="15"/>
              </w:rPr>
              <w:t>FR-13 Account control</w:t>
            </w:r>
          </w:p>
        </w:tc>
        <w:tc>
          <w:tcPr>
            <w:tcW w:type="dxa" w:w="8280"/>
            <w:vAlign w:val="center"/>
          </w:tcPr>
          <w:p>
            <w:pPr>
              <w:spacing w:after="40" w:line="240" w:lineRule="auto"/>
            </w:pPr>
            <w:r>
              <w:rPr>
                <w:sz w:val="15"/>
              </w:rPr>
              <w:t>Show connected account, last successful sync, errors, and pause/reconnect controls; prevent one account’s data from crossing into another account context.</w:t>
            </w:r>
          </w:p>
        </w:tc>
      </w:tr>
    </w:tbl>
    <w:p>
      <w:pPr>
        <w:spacing w:after="20"/>
      </w:pPr>
    </w:p>
    <w:p>
      <w:pPr>
        <w:pStyle w:val="Heading2"/>
      </w:pPr>
      <w:r>
        <w:t>3.4 Non-functional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088"/>
            <w:shd w:fill="24476B"/>
            <w:vAlign w:val="center"/>
          </w:tcPr>
          <w:p>
            <w:r>
              <w:rPr>
                <w:b/>
                <w:color w:val="FFFFFF"/>
                <w:sz w:val="16"/>
              </w:rPr>
              <w:t>Quality</w:t>
            </w:r>
          </w:p>
        </w:tc>
        <w:tc>
          <w:tcPr>
            <w:tcW w:type="dxa" w:w="8136"/>
            <w:shd w:fill="24476B"/>
            <w:vAlign w:val="center"/>
          </w:tcPr>
          <w:p>
            <w:r>
              <w:rPr>
                <w:b/>
                <w:color w:val="FFFFFF"/>
                <w:sz w:val="16"/>
              </w:rPr>
              <w:t>MVP requirement</w:t>
            </w:r>
          </w:p>
        </w:tc>
      </w:tr>
      <w:tr>
        <w:tc>
          <w:tcPr>
            <w:tcW w:type="dxa" w:w="2088"/>
            <w:vAlign w:val="center"/>
          </w:tcPr>
          <w:p>
            <w:pPr>
              <w:spacing w:after="40" w:line="240" w:lineRule="auto"/>
            </w:pPr>
            <w:r>
              <w:rPr>
                <w:sz w:val="16"/>
              </w:rPr>
              <w:t>Privacy</w:t>
            </w:r>
          </w:p>
        </w:tc>
        <w:tc>
          <w:tcPr>
            <w:tcW w:type="dxa" w:w="8136"/>
            <w:vAlign w:val="center"/>
          </w:tcPr>
          <w:p>
            <w:pPr>
              <w:spacing w:after="40" w:line="240" w:lineRule="auto"/>
            </w:pPr>
            <w:r>
              <w:rPr>
                <w:sz w:val="16"/>
              </w:rPr>
              <w:t>Local-first storage; minimize data sent to external model providers; make processing location and retention configurable and visible.</w:t>
            </w:r>
          </w:p>
        </w:tc>
      </w:tr>
      <w:tr>
        <w:tc>
          <w:tcPr>
            <w:tcW w:type="dxa" w:w="2088"/>
            <w:vAlign w:val="center"/>
            <w:shd w:fill="F2F6FA"/>
          </w:tcPr>
          <w:p>
            <w:pPr>
              <w:spacing w:after="40" w:line="240" w:lineRule="auto"/>
            </w:pPr>
            <w:r>
              <w:rPr>
                <w:sz w:val="16"/>
              </w:rPr>
              <w:t>Security</w:t>
            </w:r>
          </w:p>
        </w:tc>
        <w:tc>
          <w:tcPr>
            <w:tcW w:type="dxa" w:w="8136"/>
            <w:vAlign w:val="center"/>
            <w:shd w:fill="F2F6FA"/>
          </w:tcPr>
          <w:p>
            <w:pPr>
              <w:spacing w:after="40" w:line="240" w:lineRule="auto"/>
            </w:pPr>
            <w:r>
              <w:rPr>
                <w:sz w:val="16"/>
              </w:rPr>
              <w:t>Encrypt device storage where practical through OS disk encryption; protect tokens in macOS Keychain; least privilege; no credentials in source files or logs.</w:t>
            </w:r>
          </w:p>
        </w:tc>
      </w:tr>
      <w:tr>
        <w:tc>
          <w:tcPr>
            <w:tcW w:type="dxa" w:w="2088"/>
            <w:vAlign w:val="center"/>
          </w:tcPr>
          <w:p>
            <w:pPr>
              <w:spacing w:after="40" w:line="240" w:lineRule="auto"/>
            </w:pPr>
            <w:r>
              <w:rPr>
                <w:sz w:val="16"/>
              </w:rPr>
              <w:t>Reliability</w:t>
            </w:r>
          </w:p>
        </w:tc>
        <w:tc>
          <w:tcPr>
            <w:tcW w:type="dxa" w:w="8136"/>
            <w:vAlign w:val="center"/>
          </w:tcPr>
          <w:p>
            <w:pPr>
              <w:spacing w:after="40" w:line="240" w:lineRule="auto"/>
            </w:pPr>
            <w:r>
              <w:rPr>
                <w:sz w:val="16"/>
              </w:rPr>
              <w:t>Ingestion is idempotent where source identifiers allow it; failures are retryable and visible; never silently mark failed work complete.</w:t>
            </w:r>
          </w:p>
        </w:tc>
      </w:tr>
      <w:tr>
        <w:tc>
          <w:tcPr>
            <w:tcW w:type="dxa" w:w="2088"/>
            <w:vAlign w:val="center"/>
            <w:shd w:fill="F2F6FA"/>
          </w:tcPr>
          <w:p>
            <w:pPr>
              <w:spacing w:after="40" w:line="240" w:lineRule="auto"/>
            </w:pPr>
            <w:r>
              <w:rPr>
                <w:sz w:val="16"/>
              </w:rPr>
              <w:t>Recoverability</w:t>
            </w:r>
          </w:p>
        </w:tc>
        <w:tc>
          <w:tcPr>
            <w:tcW w:type="dxa" w:w="8136"/>
            <w:vAlign w:val="center"/>
            <w:shd w:fill="F2F6FA"/>
          </w:tcPr>
          <w:p>
            <w:pPr>
              <w:spacing w:after="40" w:line="240" w:lineRule="auto"/>
            </w:pPr>
            <w:r>
              <w:rPr>
                <w:sz w:val="16"/>
              </w:rPr>
              <w:t>Automatic scheduled encrypted backups, a documented restore path, and a periodic restore check before relying on the system.</w:t>
            </w:r>
          </w:p>
        </w:tc>
      </w:tr>
      <w:tr>
        <w:tc>
          <w:tcPr>
            <w:tcW w:type="dxa" w:w="2088"/>
            <w:vAlign w:val="center"/>
          </w:tcPr>
          <w:p>
            <w:pPr>
              <w:spacing w:after="40" w:line="240" w:lineRule="auto"/>
            </w:pPr>
            <w:r>
              <w:rPr>
                <w:sz w:val="16"/>
              </w:rPr>
              <w:t>Responsiveness</w:t>
            </w:r>
          </w:p>
        </w:tc>
        <w:tc>
          <w:tcPr>
            <w:tcW w:type="dxa" w:w="8136"/>
            <w:vAlign w:val="center"/>
          </w:tcPr>
          <w:p>
            <w:pPr>
              <w:spacing w:after="40" w:line="240" w:lineRule="auto"/>
            </w:pPr>
            <w:r>
              <w:rPr>
                <w:sz w:val="16"/>
              </w:rPr>
              <w:t>New messages should appear in the local queue promptly after the adapter reports them; semantic processing can run asynchronously.</w:t>
            </w:r>
          </w:p>
        </w:tc>
      </w:tr>
      <w:tr>
        <w:tc>
          <w:tcPr>
            <w:tcW w:type="dxa" w:w="2088"/>
            <w:vAlign w:val="center"/>
            <w:shd w:fill="F2F6FA"/>
          </w:tcPr>
          <w:p>
            <w:pPr>
              <w:spacing w:after="40" w:line="240" w:lineRule="auto"/>
            </w:pPr>
            <w:r>
              <w:rPr>
                <w:sz w:val="16"/>
              </w:rPr>
              <w:t>Explainability</w:t>
            </w:r>
          </w:p>
        </w:tc>
        <w:tc>
          <w:tcPr>
            <w:tcW w:type="dxa" w:w="8136"/>
            <w:vAlign w:val="center"/>
            <w:shd w:fill="F2F6FA"/>
          </w:tcPr>
          <w:p>
            <w:pPr>
              <w:spacing w:after="40" w:line="240" w:lineRule="auto"/>
            </w:pPr>
            <w:r>
              <w:rPr>
                <w:sz w:val="16"/>
              </w:rPr>
              <w:t>Every extracted commitment, relationship fact, and recommendation links to evidence or is labeled as user-entered/inferred.</w:t>
            </w:r>
          </w:p>
        </w:tc>
      </w:tr>
      <w:tr>
        <w:tc>
          <w:tcPr>
            <w:tcW w:type="dxa" w:w="2088"/>
            <w:vAlign w:val="center"/>
          </w:tcPr>
          <w:p>
            <w:pPr>
              <w:spacing w:after="40" w:line="240" w:lineRule="auto"/>
            </w:pPr>
            <w:r>
              <w:rPr>
                <w:sz w:val="16"/>
              </w:rPr>
              <w:t>Accessibility</w:t>
            </w:r>
          </w:p>
        </w:tc>
        <w:tc>
          <w:tcPr>
            <w:tcW w:type="dxa" w:w="8136"/>
            <w:vAlign w:val="center"/>
          </w:tcPr>
          <w:p>
            <w:pPr>
              <w:spacing w:after="40" w:line="240" w:lineRule="auto"/>
            </w:pPr>
            <w:r>
              <w:rPr>
                <w:sz w:val="16"/>
              </w:rPr>
              <w:t>Keyboard-operable review and capture flows, readable contrast, and status conveyed by text as well as color.</w:t>
            </w:r>
          </w:p>
        </w:tc>
      </w:tr>
      <w:tr>
        <w:tc>
          <w:tcPr>
            <w:tcW w:type="dxa" w:w="2088"/>
            <w:vAlign w:val="center"/>
            <w:shd w:fill="F2F6FA"/>
          </w:tcPr>
          <w:p>
            <w:pPr>
              <w:spacing w:after="40" w:line="240" w:lineRule="auto"/>
            </w:pPr>
            <w:r>
              <w:rPr>
                <w:sz w:val="16"/>
              </w:rPr>
              <w:t>Maintainability</w:t>
            </w:r>
          </w:p>
        </w:tc>
        <w:tc>
          <w:tcPr>
            <w:tcW w:type="dxa" w:w="8136"/>
            <w:vAlign w:val="center"/>
            <w:shd w:fill="F2F6FA"/>
          </w:tcPr>
          <w:p>
            <w:pPr>
              <w:spacing w:after="40" w:line="240" w:lineRule="auto"/>
            </w:pPr>
            <w:r>
              <w:rPr>
                <w:sz w:val="16"/>
              </w:rPr>
              <w:t>Small number of deployable processes, typed internal interfaces, schema migrations, structured logs, and adapter contract tests when implementation begins.</w:t>
            </w:r>
          </w:p>
        </w:tc>
      </w:tr>
      <w:tr>
        <w:tc>
          <w:tcPr>
            <w:tcW w:type="dxa" w:w="2088"/>
            <w:vAlign w:val="center"/>
          </w:tcPr>
          <w:p>
            <w:pPr>
              <w:spacing w:after="40" w:line="240" w:lineRule="auto"/>
            </w:pPr>
            <w:r>
              <w:rPr>
                <w:sz w:val="16"/>
              </w:rPr>
              <w:t>Portability</w:t>
            </w:r>
          </w:p>
        </w:tc>
        <w:tc>
          <w:tcPr>
            <w:tcW w:type="dxa" w:w="8136"/>
            <w:vAlign w:val="center"/>
          </w:tcPr>
          <w:p>
            <w:pPr>
              <w:spacing w:after="40" w:line="240" w:lineRule="auto"/>
            </w:pPr>
            <w:r>
              <w:rPr>
                <w:sz w:val="16"/>
              </w:rPr>
              <w:t>Keep channel and model-provider specifics behind interfaces; do not make the canonical data model depend on one vendor.</w:t>
            </w:r>
          </w:p>
        </w:tc>
      </w:tr>
    </w:tbl>
    <w:p>
      <w:pPr>
        <w:spacing w:after="20"/>
      </w:pPr>
    </w:p>
    <w:p>
      <w:pPr>
        <w:pStyle w:val="Heading1"/>
      </w:pPr>
      <w:r>
        <w:t>4. Autonomy and approval policy</w:t>
      </w:r>
    </w:p>
    <w:p>
      <w:r>
        <w:t>Autonomy is a product setting with deterministic enforcement, not a model personality. In the initial release, the assistant may analyze and recommend but cannot perform external effects without approval. The user may later grant narrow permissions by action category, channel/account, recipient class, and risk tier. Policy changes are versioned and visible.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656"/>
            <w:shd w:fill="24476B"/>
            <w:vAlign w:val="center"/>
          </w:tcPr>
          <w:p>
            <w:r>
              <w:rPr>
                <w:b/>
                <w:color w:val="FFFFFF"/>
                <w:sz w:val="15"/>
              </w:rPr>
              <w:t>Tier</w:t>
            </w:r>
          </w:p>
        </w:tc>
        <w:tc>
          <w:tcPr>
            <w:tcW w:type="dxa" w:w="3744"/>
            <w:shd w:fill="24476B"/>
            <w:vAlign w:val="center"/>
          </w:tcPr>
          <w:p>
            <w:r>
              <w:rPr>
                <w:b/>
                <w:color w:val="FFFFFF"/>
                <w:sz w:val="15"/>
              </w:rPr>
              <w:t>Allowed behavior</w:t>
            </w:r>
          </w:p>
        </w:tc>
        <w:tc>
          <w:tcPr>
            <w:tcW w:type="dxa" w:w="4824"/>
            <w:shd w:fill="24476B"/>
            <w:vAlign w:val="center"/>
          </w:tcPr>
          <w:p>
            <w:r>
              <w:rPr>
                <w:b/>
                <w:color w:val="FFFFFF"/>
                <w:sz w:val="15"/>
              </w:rPr>
              <w:t>Example / control</w:t>
            </w:r>
          </w:p>
        </w:tc>
      </w:tr>
      <w:tr>
        <w:tc>
          <w:tcPr>
            <w:tcW w:type="dxa" w:w="1656"/>
            <w:vAlign w:val="center"/>
          </w:tcPr>
          <w:p>
            <w:pPr>
              <w:spacing w:after="40" w:line="240" w:lineRule="auto"/>
            </w:pPr>
            <w:r>
              <w:rPr>
                <w:sz w:val="15"/>
              </w:rPr>
              <w:t>A0 Observe</w:t>
            </w:r>
          </w:p>
        </w:tc>
        <w:tc>
          <w:tcPr>
            <w:tcW w:type="dxa" w:w="3744"/>
            <w:vAlign w:val="center"/>
          </w:tcPr>
          <w:p>
            <w:pPr>
              <w:spacing w:after="40" w:line="240" w:lineRule="auto"/>
            </w:pPr>
            <w:r>
              <w:rPr>
                <w:sz w:val="15"/>
              </w:rPr>
              <w:t>Ingest, classify, summarize, extract candidates, and create internal suggestions.</w:t>
            </w:r>
          </w:p>
        </w:tc>
        <w:tc>
          <w:tcPr>
            <w:tcW w:type="dxa" w:w="4824"/>
            <w:vAlign w:val="center"/>
          </w:tcPr>
          <w:p>
            <w:pPr>
              <w:spacing w:after="40" w:line="240" w:lineRule="auto"/>
            </w:pPr>
            <w:r>
              <w:rPr>
                <w:sz w:val="15"/>
              </w:rPr>
              <w:t>Default for all new data; uncertain inferences remain candidates.</w:t>
            </w:r>
          </w:p>
        </w:tc>
      </w:tr>
      <w:tr>
        <w:tc>
          <w:tcPr>
            <w:tcW w:type="dxa" w:w="1656"/>
            <w:vAlign w:val="center"/>
            <w:shd w:fill="F2F6FA"/>
          </w:tcPr>
          <w:p>
            <w:pPr>
              <w:spacing w:after="40" w:line="240" w:lineRule="auto"/>
            </w:pPr>
            <w:r>
              <w:rPr>
                <w:sz w:val="15"/>
              </w:rPr>
              <w:t>A1 Prepare</w:t>
            </w:r>
          </w:p>
        </w:tc>
        <w:tc>
          <w:tcPr>
            <w:tcW w:type="dxa" w:w="3744"/>
            <w:vAlign w:val="center"/>
            <w:shd w:fill="F2F6FA"/>
          </w:tcPr>
          <w:p>
            <w:pPr>
              <w:spacing w:after="40" w:line="240" w:lineRule="auto"/>
            </w:pPr>
            <w:r>
              <w:rPr>
                <w:sz w:val="15"/>
              </w:rPr>
              <w:t>Create internal drafts and proposed action records.</w:t>
            </w:r>
          </w:p>
        </w:tc>
        <w:tc>
          <w:tcPr>
            <w:tcW w:type="dxa" w:w="4824"/>
            <w:vAlign w:val="center"/>
            <w:shd w:fill="F2F6FA"/>
          </w:tcPr>
          <w:p>
            <w:pPr>
              <w:spacing w:after="40" w:line="240" w:lineRule="auto"/>
            </w:pPr>
            <w:r>
              <w:rPr>
                <w:sz w:val="15"/>
              </w:rPr>
              <w:t>Draft is not sent; user can edit or discard.</w:t>
            </w:r>
          </w:p>
        </w:tc>
      </w:tr>
      <w:tr>
        <w:tc>
          <w:tcPr>
            <w:tcW w:type="dxa" w:w="1656"/>
            <w:vAlign w:val="center"/>
          </w:tcPr>
          <w:p>
            <w:pPr>
              <w:spacing w:after="40" w:line="240" w:lineRule="auto"/>
            </w:pPr>
            <w:r>
              <w:rPr>
                <w:sz w:val="15"/>
              </w:rPr>
              <w:t>A2 Approve each</w:t>
            </w:r>
          </w:p>
        </w:tc>
        <w:tc>
          <w:tcPr>
            <w:tcW w:type="dxa" w:w="3744"/>
            <w:vAlign w:val="center"/>
          </w:tcPr>
          <w:p>
            <w:pPr>
              <w:spacing w:after="40" w:line="240" w:lineRule="auto"/>
            </w:pPr>
            <w:r>
              <w:rPr>
                <w:sz w:val="15"/>
              </w:rPr>
              <w:t>Execute only after user approves the exact action, destination, and content.</w:t>
            </w:r>
          </w:p>
        </w:tc>
        <w:tc>
          <w:tcPr>
            <w:tcW w:type="dxa" w:w="4824"/>
            <w:vAlign w:val="center"/>
          </w:tcPr>
          <w:p>
            <w:pPr>
              <w:spacing w:after="40" w:line="240" w:lineRule="auto"/>
            </w:pPr>
            <w:r>
              <w:rPr>
                <w:sz w:val="15"/>
              </w:rPr>
              <w:t>MVP ceiling for external effects. Approval expires if payload or destination changes.</w:t>
            </w:r>
          </w:p>
        </w:tc>
      </w:tr>
      <w:tr>
        <w:tc>
          <w:tcPr>
            <w:tcW w:type="dxa" w:w="1656"/>
            <w:vAlign w:val="center"/>
            <w:shd w:fill="F2F6FA"/>
          </w:tcPr>
          <w:p>
            <w:pPr>
              <w:spacing w:after="40" w:line="240" w:lineRule="auto"/>
            </w:pPr>
            <w:r>
              <w:rPr>
                <w:sz w:val="15"/>
              </w:rPr>
              <w:t>A3 Narrow delegation</w:t>
            </w:r>
          </w:p>
        </w:tc>
        <w:tc>
          <w:tcPr>
            <w:tcW w:type="dxa" w:w="3744"/>
            <w:vAlign w:val="center"/>
            <w:shd w:fill="F2F6FA"/>
          </w:tcPr>
          <w:p>
            <w:pPr>
              <w:spacing w:after="40" w:line="240" w:lineRule="auto"/>
            </w:pPr>
            <w:r>
              <w:rPr>
                <w:sz w:val="15"/>
              </w:rPr>
              <w:t>Execute a pre-approved low-risk category under explicit limits and review logging.</w:t>
            </w:r>
          </w:p>
        </w:tc>
        <w:tc>
          <w:tcPr>
            <w:tcW w:type="dxa" w:w="4824"/>
            <w:vAlign w:val="center"/>
            <w:shd w:fill="F2F6FA"/>
          </w:tcPr>
          <w:p>
            <w:pPr>
              <w:spacing w:after="40" w:line="240" w:lineRule="auto"/>
            </w:pPr>
            <w:r>
              <w:rPr>
                <w:sz w:val="15"/>
              </w:rPr>
              <w:t>Future only; require volume/time limits, allowlist, revocation, and exception queue.</w:t>
            </w:r>
          </w:p>
        </w:tc>
      </w:tr>
      <w:tr>
        <w:tc>
          <w:tcPr>
            <w:tcW w:type="dxa" w:w="1656"/>
            <w:vAlign w:val="center"/>
          </w:tcPr>
          <w:p>
            <w:pPr>
              <w:spacing w:after="40" w:line="240" w:lineRule="auto"/>
            </w:pPr>
            <w:r>
              <w:rPr>
                <w:sz w:val="15"/>
              </w:rPr>
              <w:t>A4 Broad autonomy</w:t>
            </w:r>
          </w:p>
        </w:tc>
        <w:tc>
          <w:tcPr>
            <w:tcW w:type="dxa" w:w="3744"/>
            <w:vAlign w:val="center"/>
          </w:tcPr>
          <w:p>
            <w:pPr>
              <w:spacing w:after="40" w:line="240" w:lineRule="auto"/>
            </w:pPr>
            <w:r>
              <w:rPr>
                <w:sz w:val="15"/>
              </w:rPr>
              <w:t>Unattended high-impact or open-ended communication.</w:t>
            </w:r>
          </w:p>
        </w:tc>
        <w:tc>
          <w:tcPr>
            <w:tcW w:type="dxa" w:w="4824"/>
            <w:vAlign w:val="center"/>
          </w:tcPr>
          <w:p>
            <w:pPr>
              <w:spacing w:after="40" w:line="240" w:lineRule="auto"/>
            </w:pPr>
            <w:r>
              <w:rPr>
                <w:sz w:val="15"/>
              </w:rPr>
              <w:t>Out of scope; no roadmap commitment.</w:t>
            </w:r>
          </w:p>
        </w:tc>
      </w:tr>
    </w:tbl>
    <w:p>
      <w:pPr>
        <w:spacing w:after="20"/>
      </w:pPr>
    </w:p>
    <w:p>
      <w:r>
        <w:t>Hard guardrails: never infer authorization from confidence; never send to an ambiguous recipient; never execute a materially changed draft under an old approval; never allow model output to bypass policy; and route sensitive, financial, legal, health, safety, or relationship-critical topics to the user unless a deliberately approved policy says otherwise. Provide a global pause control and an append-only audit history.</w:t>
      </w:r>
    </w:p>
    <w:p>
      <w:pPr>
        <w:pStyle w:val="Heading1"/>
      </w:pPr>
      <w:r>
        <w:t>5. Success measures and acceptance</w:t>
      </w:r>
    </w:p>
    <w:p>
      <w:pPr>
        <w:pStyle w:val="Heading2"/>
      </w:pPr>
      <w:r>
        <w:t>5.1 Success metrics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160"/>
            <w:shd w:fill="24476B"/>
            <w:vAlign w:val="center"/>
          </w:tcPr>
          <w:p>
            <w:r>
              <w:rPr>
                <w:b/>
                <w:color w:val="FFFFFF"/>
                <w:sz w:val="16"/>
              </w:rPr>
              <w:t>Measure</w:t>
            </w:r>
          </w:p>
        </w:tc>
        <w:tc>
          <w:tcPr>
            <w:tcW w:type="dxa" w:w="8064"/>
            <w:shd w:fill="24476B"/>
            <w:vAlign w:val="center"/>
          </w:tcPr>
          <w:p>
            <w:r>
              <w:rPr>
                <w:b/>
                <w:color w:val="FFFFFF"/>
                <w:sz w:val="16"/>
              </w:rPr>
              <w:t>Definition / initial target</w:t>
            </w:r>
          </w:p>
        </w:tc>
      </w:tr>
      <w:tr>
        <w:tc>
          <w:tcPr>
            <w:tcW w:type="dxa" w:w="2160"/>
            <w:vAlign w:val="center"/>
          </w:tcPr>
          <w:p>
            <w:pPr>
              <w:spacing w:after="40" w:line="240" w:lineRule="auto"/>
            </w:pPr>
            <w:r>
              <w:rPr>
                <w:sz w:val="16"/>
              </w:rPr>
              <w:t>Capture completeness</w:t>
            </w:r>
          </w:p>
        </w:tc>
        <w:tc>
          <w:tcPr>
            <w:tcW w:type="dxa" w:w="8064"/>
            <w:vAlign w:val="center"/>
          </w:tcPr>
          <w:p>
            <w:pPr>
              <w:spacing w:after="40" w:line="240" w:lineRule="auto"/>
            </w:pPr>
            <w:r>
              <w:rPr>
                <w:sz w:val="16"/>
              </w:rPr>
              <w:t>Share of messages exposed by the chosen integration that appear in the local inbox; baseline and target set after integration validation.</w:t>
            </w:r>
          </w:p>
        </w:tc>
      </w:tr>
      <w:tr>
        <w:tc>
          <w:tcPr>
            <w:tcW w:type="dxa" w:w="2160"/>
            <w:vAlign w:val="center"/>
            <w:shd w:fill="F2F6FA"/>
          </w:tcPr>
          <w:p>
            <w:pPr>
              <w:spacing w:after="40" w:line="240" w:lineRule="auto"/>
            </w:pPr>
            <w:r>
              <w:rPr>
                <w:sz w:val="16"/>
              </w:rPr>
              <w:t>Triage usefulness</w:t>
            </w:r>
          </w:p>
        </w:tc>
        <w:tc>
          <w:tcPr>
            <w:tcW w:type="dxa" w:w="8064"/>
            <w:vAlign w:val="center"/>
            <w:shd w:fill="F2F6FA"/>
          </w:tcPr>
          <w:p>
            <w:pPr>
              <w:spacing w:after="40" w:line="240" w:lineRule="auto"/>
            </w:pPr>
            <w:r>
              <w:rPr>
                <w:sz w:val="16"/>
              </w:rPr>
              <w:t>User-rated helpfulness of priority ordering and summaries, tracked with lightweight feedback; target established during a 2–4 week pilot.</w:t>
            </w:r>
          </w:p>
        </w:tc>
      </w:tr>
      <w:tr>
        <w:tc>
          <w:tcPr>
            <w:tcW w:type="dxa" w:w="2160"/>
            <w:vAlign w:val="center"/>
          </w:tcPr>
          <w:p>
            <w:pPr>
              <w:spacing w:after="40" w:line="240" w:lineRule="auto"/>
            </w:pPr>
            <w:r>
              <w:rPr>
                <w:sz w:val="16"/>
              </w:rPr>
              <w:t>Commitment recall</w:t>
            </w:r>
          </w:p>
        </w:tc>
        <w:tc>
          <w:tcPr>
            <w:tcW w:type="dxa" w:w="8064"/>
            <w:vAlign w:val="center"/>
          </w:tcPr>
          <w:p>
            <w:pPr>
              <w:spacing w:after="40" w:line="240" w:lineRule="auto"/>
            </w:pPr>
            <w:r>
              <w:rPr>
                <w:sz w:val="16"/>
              </w:rPr>
              <w:t>Share of user-confirmed action-worthy items surfaced by the system; review misses as well as false positives.</w:t>
            </w:r>
          </w:p>
        </w:tc>
      </w:tr>
      <w:tr>
        <w:tc>
          <w:tcPr>
            <w:tcW w:type="dxa" w:w="2160"/>
            <w:vAlign w:val="center"/>
            <w:shd w:fill="F2F6FA"/>
          </w:tcPr>
          <w:p>
            <w:pPr>
              <w:spacing w:after="40" w:line="240" w:lineRule="auto"/>
            </w:pPr>
            <w:r>
              <w:rPr>
                <w:sz w:val="16"/>
              </w:rPr>
              <w:t>Follow-through reliability</w:t>
            </w:r>
          </w:p>
        </w:tc>
        <w:tc>
          <w:tcPr>
            <w:tcW w:type="dxa" w:w="8064"/>
            <w:vAlign w:val="center"/>
            <w:shd w:fill="F2F6FA"/>
          </w:tcPr>
          <w:p>
            <w:pPr>
              <w:spacing w:after="40" w:line="240" w:lineRule="auto"/>
            </w:pPr>
            <w:r>
              <w:rPr>
                <w:sz w:val="16"/>
              </w:rPr>
              <w:t>Share of tracked actions closed, rescheduled, or consciously dismissed without becoming overdue and forgotten.</w:t>
            </w:r>
          </w:p>
        </w:tc>
      </w:tr>
      <w:tr>
        <w:tc>
          <w:tcPr>
            <w:tcW w:type="dxa" w:w="2160"/>
            <w:vAlign w:val="center"/>
          </w:tcPr>
          <w:p>
            <w:pPr>
              <w:spacing w:after="40" w:line="240" w:lineRule="auto"/>
            </w:pPr>
            <w:r>
              <w:rPr>
                <w:sz w:val="16"/>
              </w:rPr>
              <w:t>Correction burden</w:t>
            </w:r>
          </w:p>
        </w:tc>
        <w:tc>
          <w:tcPr>
            <w:tcW w:type="dxa" w:w="8064"/>
            <w:vAlign w:val="center"/>
          </w:tcPr>
          <w:p>
            <w:pPr>
              <w:spacing w:after="40" w:line="240" w:lineRule="auto"/>
            </w:pPr>
            <w:r>
              <w:rPr>
                <w:sz w:val="16"/>
              </w:rPr>
              <w:t>Time spent correcting people links, extracted commitments, and classifications; should decline over the pilot.</w:t>
            </w:r>
          </w:p>
        </w:tc>
      </w:tr>
      <w:tr>
        <w:tc>
          <w:tcPr>
            <w:tcW w:type="dxa" w:w="2160"/>
            <w:vAlign w:val="center"/>
            <w:shd w:fill="F2F6FA"/>
          </w:tcPr>
          <w:p>
            <w:pPr>
              <w:spacing w:after="40" w:line="240" w:lineRule="auto"/>
            </w:pPr>
            <w:r>
              <w:rPr>
                <w:sz w:val="16"/>
              </w:rPr>
              <w:t>Approval safety</w:t>
            </w:r>
          </w:p>
        </w:tc>
        <w:tc>
          <w:tcPr>
            <w:tcW w:type="dxa" w:w="8064"/>
            <w:vAlign w:val="center"/>
            <w:shd w:fill="F2F6FA"/>
          </w:tcPr>
          <w:p>
            <w:pPr>
              <w:spacing w:after="40" w:line="240" w:lineRule="auto"/>
            </w:pPr>
            <w:r>
              <w:rPr>
                <w:sz w:val="16"/>
              </w:rPr>
              <w:t>100% of external effects have an auditable user approval in MVP; zero unapproved external sends.</w:t>
            </w:r>
          </w:p>
        </w:tc>
      </w:tr>
      <w:tr>
        <w:tc>
          <w:tcPr>
            <w:tcW w:type="dxa" w:w="2160"/>
            <w:vAlign w:val="center"/>
          </w:tcPr>
          <w:p>
            <w:pPr>
              <w:spacing w:after="40" w:line="240" w:lineRule="auto"/>
            </w:pPr>
            <w:r>
              <w:rPr>
                <w:sz w:val="16"/>
              </w:rPr>
              <w:t>Operational health</w:t>
            </w:r>
          </w:p>
        </w:tc>
        <w:tc>
          <w:tcPr>
            <w:tcW w:type="dxa" w:w="8064"/>
            <w:vAlign w:val="center"/>
          </w:tcPr>
          <w:p>
            <w:pPr>
              <w:spacing w:after="40" w:line="240" w:lineRule="auto"/>
            </w:pPr>
            <w:r>
              <w:rPr>
                <w:sz w:val="16"/>
              </w:rPr>
              <w:t>Visible sync state, successful backup cadence, and successful restore rehearsal; no silent data loss.</w:t>
            </w:r>
          </w:p>
        </w:tc>
      </w:tr>
    </w:tbl>
    <w:p>
      <w:pPr>
        <w:spacing w:after="20"/>
      </w:pPr>
    </w:p>
    <w:p>
      <w:pPr>
        <w:pStyle w:val="Heading2"/>
      </w:pPr>
      <w:r>
        <w:t>5.2 MVP acceptance criteria</w:t>
      </w:r>
    </w:p>
    <w:p>
      <w:pPr>
        <w:pStyle w:val="ListBullet"/>
      </w:pPr>
      <w:r>
        <w:t>The user can connect or configure one WhatsApp account through the selected, validated integration and see connection health.</w:t>
      </w:r>
    </w:p>
    <w:p>
      <w:pPr>
        <w:pStyle w:val="ListBullet"/>
      </w:pPr>
      <w:r>
        <w:t>A newly available inbound message is represented once, tied to its conversation/person when known, and traceable to the source record.</w:t>
      </w:r>
    </w:p>
    <w:p>
      <w:pPr>
        <w:pStyle w:val="ListBullet"/>
      </w:pPr>
      <w:r>
        <w:t>The user can enter a meeting or call note directly; it is labeled as user-provided and can produce reviewable action and relationship candidates.</w:t>
      </w:r>
    </w:p>
    <w:p>
      <w:pPr>
        <w:pStyle w:val="ListBullet"/>
      </w:pPr>
      <w:r>
        <w:t>Each suggested commitment shows its evidence, proposed owner/status/date, and an edit/accept/reject path.</w:t>
      </w:r>
    </w:p>
    <w:p>
      <w:pPr>
        <w:pStyle w:val="ListBullet"/>
      </w:pPr>
      <w:r>
        <w:t>The user can view and change an action’s state and see its origin and history.</w:t>
      </w:r>
    </w:p>
    <w:p>
      <w:pPr>
        <w:pStyle w:val="ListBullet"/>
      </w:pPr>
      <w:r>
        <w:t>The system can draft a reply and cannot send it until the user approves its exact recipient and text; if the integration cannot reliably execute that operation, the feature remains draft-only.</w:t>
      </w:r>
    </w:p>
    <w:p>
      <w:pPr>
        <w:pStyle w:val="ListBullet"/>
      </w:pPr>
      <w:r>
        <w:t>All classifications, memory changes, and external action attempts have provenance and appropriate audit records.</w:t>
      </w:r>
    </w:p>
    <w:p>
      <w:pPr>
        <w:pStyle w:val="ListBullet"/>
      </w:pPr>
      <w:r>
        <w:t>The database can be backed up and restored on the same Mac mini using documented steps.</w:t>
      </w:r>
    </w:p>
    <w:p>
      <w:pPr>
        <w:pStyle w:val="ListBullet"/>
      </w:pPr>
      <w:r>
        <w:t>A paused or failed adapter does not corrupt already captured data and surfaces an actionable status.</w:t>
      </w:r>
    </w:p>
    <w:p>
      <w:pPr>
        <w:pStyle w:val="Heading1"/>
      </w:pPr>
      <w:r>
        <w:t>6. Technical architecture</w:t>
      </w:r>
    </w:p>
    <w:p>
      <w:pPr>
        <w:pStyle w:val="Heading2"/>
      </w:pPr>
      <w:r>
        <w:t>6.1 Architectural style</w:t>
      </w:r>
    </w:p>
    <w:p>
      <w:r>
        <w:t>Use a modular monolith with clear internal modules and a small number of processes: a local application/API, a background worker, and optionally a lightweight channel bridge if the integration requires isolation. Keep a single SQLite database initially. Modules communicate through typed interfaces and a durable internal job/event table, not an early distributed message bus. Split services only when a measured operational, security, scaling, or deployment need justifies 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944"/>
            <w:shd w:fill="24476B"/>
            <w:vAlign w:val="center"/>
          </w:tcPr>
          <w:p>
            <w:r>
              <w:rPr>
                <w:b/>
                <w:color w:val="FFFFFF"/>
                <w:sz w:val="15"/>
              </w:rPr>
              <w:t>Layer</w:t>
            </w:r>
          </w:p>
        </w:tc>
        <w:tc>
          <w:tcPr>
            <w:tcW w:type="dxa" w:w="3960"/>
            <w:shd w:fill="24476B"/>
            <w:vAlign w:val="center"/>
          </w:tcPr>
          <w:p>
            <w:r>
              <w:rPr>
                <w:b/>
                <w:color w:val="FFFFFF"/>
                <w:sz w:val="15"/>
              </w:rPr>
              <w:t>Responsibility</w:t>
            </w:r>
          </w:p>
        </w:tc>
        <w:tc>
          <w:tcPr>
            <w:tcW w:type="dxa" w:w="4320"/>
            <w:shd w:fill="24476B"/>
            <w:vAlign w:val="center"/>
          </w:tcPr>
          <w:p>
            <w:r>
              <w:rPr>
                <w:b/>
                <w:color w:val="FFFFFF"/>
                <w:sz w:val="15"/>
              </w:rPr>
              <w:t>Boundary</w:t>
            </w:r>
          </w:p>
        </w:tc>
      </w:tr>
      <w:tr>
        <w:tc>
          <w:tcPr>
            <w:tcW w:type="dxa" w:w="1944"/>
            <w:vAlign w:val="center"/>
          </w:tcPr>
          <w:p>
            <w:pPr>
              <w:spacing w:after="40" w:line="240" w:lineRule="auto"/>
            </w:pPr>
            <w:r>
              <w:rPr>
                <w:sz w:val="15"/>
              </w:rPr>
              <w:t>Channel adapters</w:t>
            </w:r>
          </w:p>
        </w:tc>
        <w:tc>
          <w:tcPr>
            <w:tcW w:type="dxa" w:w="3960"/>
            <w:vAlign w:val="center"/>
          </w:tcPr>
          <w:p>
            <w:pPr>
              <w:spacing w:after="40" w:line="240" w:lineRule="auto"/>
            </w:pPr>
            <w:r>
              <w:rPr>
                <w:sz w:val="15"/>
              </w:rPr>
              <w:t>Connect, ingest, normalize provider updates, expose supported outbound operations, report health.</w:t>
            </w:r>
          </w:p>
        </w:tc>
        <w:tc>
          <w:tcPr>
            <w:tcW w:type="dxa" w:w="4320"/>
            <w:vAlign w:val="center"/>
          </w:tcPr>
          <w:p>
            <w:pPr>
              <w:spacing w:after="40" w:line="240" w:lineRule="auto"/>
            </w:pPr>
            <w:r>
              <w:rPr>
                <w:sz w:val="15"/>
              </w:rPr>
              <w:t>Provider-specific APIs and limitations stay here.</w:t>
            </w:r>
          </w:p>
        </w:tc>
      </w:tr>
      <w:tr>
        <w:tc>
          <w:tcPr>
            <w:tcW w:type="dxa" w:w="1944"/>
            <w:vAlign w:val="center"/>
            <w:shd w:fill="F2F6FA"/>
          </w:tcPr>
          <w:p>
            <w:pPr>
              <w:spacing w:after="40" w:line="240" w:lineRule="auto"/>
            </w:pPr>
            <w:r>
              <w:rPr>
                <w:sz w:val="15"/>
              </w:rPr>
              <w:t>Capture and inbox</w:t>
            </w:r>
          </w:p>
        </w:tc>
        <w:tc>
          <w:tcPr>
            <w:tcW w:type="dxa" w:w="3960"/>
            <w:vAlign w:val="center"/>
            <w:shd w:fill="F2F6FA"/>
          </w:tcPr>
          <w:p>
            <w:pPr>
              <w:spacing w:after="40" w:line="240" w:lineRule="auto"/>
            </w:pPr>
            <w:r>
              <w:rPr>
                <w:sz w:val="15"/>
              </w:rPr>
              <w:t>User text capture, review state, search, filtering, human correction.</w:t>
            </w:r>
          </w:p>
        </w:tc>
        <w:tc>
          <w:tcPr>
            <w:tcW w:type="dxa" w:w="4320"/>
            <w:vAlign w:val="center"/>
            <w:shd w:fill="F2F6FA"/>
          </w:tcPr>
          <w:p>
            <w:pPr>
              <w:spacing w:after="40" w:line="240" w:lineRule="auto"/>
            </w:pPr>
            <w:r>
              <w:rPr>
                <w:sz w:val="15"/>
              </w:rPr>
              <w:t>Distinguishes observed messages from user-entered notes.</w:t>
            </w:r>
          </w:p>
        </w:tc>
      </w:tr>
      <w:tr>
        <w:tc>
          <w:tcPr>
            <w:tcW w:type="dxa" w:w="1944"/>
            <w:vAlign w:val="center"/>
          </w:tcPr>
          <w:p>
            <w:pPr>
              <w:spacing w:after="40" w:line="240" w:lineRule="auto"/>
            </w:pPr>
            <w:r>
              <w:rPr>
                <w:sz w:val="15"/>
              </w:rPr>
              <w:t>Domain core</w:t>
            </w:r>
          </w:p>
        </w:tc>
        <w:tc>
          <w:tcPr>
            <w:tcW w:type="dxa" w:w="3960"/>
            <w:vAlign w:val="center"/>
          </w:tcPr>
          <w:p>
            <w:pPr>
              <w:spacing w:after="40" w:line="240" w:lineRule="auto"/>
            </w:pPr>
            <w:r>
              <w:rPr>
                <w:sz w:val="15"/>
              </w:rPr>
              <w:t>People, conversations, messages, commitments, actions, evidence, policies, approvals.</w:t>
            </w:r>
          </w:p>
        </w:tc>
        <w:tc>
          <w:tcPr>
            <w:tcW w:type="dxa" w:w="4320"/>
            <w:vAlign w:val="center"/>
          </w:tcPr>
          <w:p>
            <w:pPr>
              <w:spacing w:after="40" w:line="240" w:lineRule="auto"/>
            </w:pPr>
            <w:r>
              <w:rPr>
                <w:sz w:val="15"/>
              </w:rPr>
              <w:t>Channel- and model-independent rules.</w:t>
            </w:r>
          </w:p>
        </w:tc>
      </w:tr>
      <w:tr>
        <w:tc>
          <w:tcPr>
            <w:tcW w:type="dxa" w:w="1944"/>
            <w:vAlign w:val="center"/>
            <w:shd w:fill="F2F6FA"/>
          </w:tcPr>
          <w:p>
            <w:pPr>
              <w:spacing w:after="40" w:line="240" w:lineRule="auto"/>
            </w:pPr>
            <w:r>
              <w:rPr>
                <w:sz w:val="15"/>
              </w:rPr>
              <w:t>Intelligence</w:t>
            </w:r>
          </w:p>
        </w:tc>
        <w:tc>
          <w:tcPr>
            <w:tcW w:type="dxa" w:w="3960"/>
            <w:vAlign w:val="center"/>
            <w:shd w:fill="F2F6FA"/>
          </w:tcPr>
          <w:p>
            <w:pPr>
              <w:spacing w:after="40" w:line="240" w:lineRule="auto"/>
            </w:pPr>
            <w:r>
              <w:rPr>
                <w:sz w:val="15"/>
              </w:rPr>
              <w:t>Classification, summarization, extraction, entity matching, draft generation.</w:t>
            </w:r>
          </w:p>
        </w:tc>
        <w:tc>
          <w:tcPr>
            <w:tcW w:type="dxa" w:w="4320"/>
            <w:vAlign w:val="center"/>
            <w:shd w:fill="F2F6FA"/>
          </w:tcPr>
          <w:p>
            <w:pPr>
              <w:spacing w:after="40" w:line="240" w:lineRule="auto"/>
            </w:pPr>
            <w:r>
              <w:rPr>
                <w:sz w:val="15"/>
              </w:rPr>
              <w:t>Returns structured candidates with evidence; cannot execute actions.</w:t>
            </w:r>
          </w:p>
        </w:tc>
      </w:tr>
      <w:tr>
        <w:tc>
          <w:tcPr>
            <w:tcW w:type="dxa" w:w="1944"/>
            <w:vAlign w:val="center"/>
          </w:tcPr>
          <w:p>
            <w:pPr>
              <w:spacing w:after="40" w:line="240" w:lineRule="auto"/>
            </w:pPr>
            <w:r>
              <w:rPr>
                <w:sz w:val="15"/>
              </w:rPr>
              <w:t>Policy and execution</w:t>
            </w:r>
          </w:p>
        </w:tc>
        <w:tc>
          <w:tcPr>
            <w:tcW w:type="dxa" w:w="3960"/>
            <w:vAlign w:val="center"/>
          </w:tcPr>
          <w:p>
            <w:pPr>
              <w:spacing w:after="40" w:line="240" w:lineRule="auto"/>
            </w:pPr>
            <w:r>
              <w:rPr>
                <w:sz w:val="15"/>
              </w:rPr>
              <w:t>Deterministic authorization, approval validation, idempotency, outbound adapter calls.</w:t>
            </w:r>
          </w:p>
        </w:tc>
        <w:tc>
          <w:tcPr>
            <w:tcW w:type="dxa" w:w="4320"/>
            <w:vAlign w:val="center"/>
          </w:tcPr>
          <w:p>
            <w:pPr>
              <w:spacing w:after="40" w:line="240" w:lineRule="auto"/>
            </w:pPr>
            <w:r>
              <w:rPr>
                <w:sz w:val="15"/>
              </w:rPr>
              <w:t>Only component allowed to initiate external side effects.</w:t>
            </w:r>
          </w:p>
        </w:tc>
      </w:tr>
      <w:tr>
        <w:tc>
          <w:tcPr>
            <w:tcW w:type="dxa" w:w="1944"/>
            <w:vAlign w:val="center"/>
            <w:shd w:fill="F2F6FA"/>
          </w:tcPr>
          <w:p>
            <w:pPr>
              <w:spacing w:after="40" w:line="240" w:lineRule="auto"/>
            </w:pPr>
            <w:r>
              <w:rPr>
                <w:sz w:val="15"/>
              </w:rPr>
              <w:t>Persistence and operations</w:t>
            </w:r>
          </w:p>
        </w:tc>
        <w:tc>
          <w:tcPr>
            <w:tcW w:type="dxa" w:w="3960"/>
            <w:vAlign w:val="center"/>
            <w:shd w:fill="F2F6FA"/>
          </w:tcPr>
          <w:p>
            <w:pPr>
              <w:spacing w:after="40" w:line="240" w:lineRule="auto"/>
            </w:pPr>
            <w:r>
              <w:rPr>
                <w:sz w:val="15"/>
              </w:rPr>
              <w:t>SQLite repositories, job queue, migrations, backups, logs, health.</w:t>
            </w:r>
          </w:p>
        </w:tc>
        <w:tc>
          <w:tcPr>
            <w:tcW w:type="dxa" w:w="4320"/>
            <w:vAlign w:val="center"/>
            <w:shd w:fill="F2F6FA"/>
          </w:tcPr>
          <w:p>
            <w:pPr>
              <w:spacing w:after="40" w:line="240" w:lineRule="auto"/>
            </w:pPr>
            <w:r>
              <w:rPr>
                <w:sz w:val="15"/>
              </w:rPr>
              <w:t>Local-first; secrets kept outside the database where possible.</w:t>
            </w:r>
          </w:p>
        </w:tc>
      </w:tr>
    </w:tbl>
    <w:p>
      <w:pPr>
        <w:spacing w:after="20"/>
      </w:pPr>
    </w:p>
    <w:p>
      <w:pPr>
        <w:pStyle w:val="Heading2"/>
      </w:pPr>
      <w:r>
        <w:t>6.2 Logical component diagram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1944"/>
            <w:shd w:fill="24476B"/>
            <w:vAlign w:val="center"/>
          </w:tcPr>
          <w:p>
            <w:r>
              <w:rPr>
                <w:b/>
                <w:color w:val="FFFFFF"/>
                <w:sz w:val="16"/>
              </w:rPr>
              <w:t>Flow</w:t>
            </w:r>
          </w:p>
        </w:tc>
        <w:tc>
          <w:tcPr>
            <w:tcW w:type="dxa" w:w="8280"/>
            <w:shd w:fill="24476B"/>
            <w:vAlign w:val="center"/>
          </w:tcPr>
          <w:p>
            <w:r>
              <w:rPr>
                <w:b/>
                <w:color w:val="FFFFFF"/>
                <w:sz w:val="16"/>
              </w:rPr>
              <w:t>Components</w:t>
            </w:r>
          </w:p>
        </w:tc>
      </w:tr>
      <w:tr>
        <w:tc>
          <w:tcPr>
            <w:tcW w:type="dxa" w:w="1944"/>
            <w:vAlign w:val="center"/>
          </w:tcPr>
          <w:p>
            <w:pPr>
              <w:spacing w:after="40" w:line="240" w:lineRule="auto"/>
            </w:pPr>
            <w:r>
              <w:rPr>
                <w:sz w:val="16"/>
              </w:rPr>
              <w:t>Inbound channel</w:t>
            </w:r>
          </w:p>
        </w:tc>
        <w:tc>
          <w:tcPr>
            <w:tcW w:type="dxa" w:w="8280"/>
            <w:vAlign w:val="center"/>
          </w:tcPr>
          <w:p>
            <w:pPr>
              <w:spacing w:after="40" w:line="240" w:lineRule="auto"/>
            </w:pPr>
            <w:r>
              <w:rPr>
                <w:sz w:val="16"/>
              </w:rPr>
              <w:t>WhatsApp adapter → adapter inbox/webhook or polling cursor → normalize + deduplicate → SQLite message/conversation/evidence records</w:t>
            </w:r>
          </w:p>
        </w:tc>
      </w:tr>
      <w:tr>
        <w:tc>
          <w:tcPr>
            <w:tcW w:type="dxa" w:w="1944"/>
            <w:vAlign w:val="center"/>
            <w:shd w:fill="F2F6FA"/>
          </w:tcPr>
          <w:p>
            <w:pPr>
              <w:spacing w:after="40" w:line="240" w:lineRule="auto"/>
            </w:pPr>
            <w:r>
              <w:rPr>
                <w:sz w:val="16"/>
              </w:rPr>
              <w:t>User input</w:t>
            </w:r>
          </w:p>
        </w:tc>
        <w:tc>
          <w:tcPr>
            <w:tcW w:type="dxa" w:w="8280"/>
            <w:vAlign w:val="center"/>
            <w:shd w:fill="F2F6FA"/>
          </w:tcPr>
          <w:p>
            <w:pPr>
              <w:spacing w:after="40" w:line="240" w:lineRule="auto"/>
            </w:pPr>
            <w:r>
              <w:rPr>
                <w:sz w:val="16"/>
              </w:rPr>
              <w:t>Text capture UI → capture service → user_note evidence → analysis job</w:t>
            </w:r>
          </w:p>
        </w:tc>
      </w:tr>
      <w:tr>
        <w:tc>
          <w:tcPr>
            <w:tcW w:type="dxa" w:w="1944"/>
            <w:vAlign w:val="center"/>
          </w:tcPr>
          <w:p>
            <w:pPr>
              <w:spacing w:after="40" w:line="240" w:lineRule="auto"/>
            </w:pPr>
            <w:r>
              <w:rPr>
                <w:sz w:val="16"/>
              </w:rPr>
              <w:t>Semantic processing</w:t>
            </w:r>
          </w:p>
        </w:tc>
        <w:tc>
          <w:tcPr>
            <w:tcW w:type="dxa" w:w="8280"/>
            <w:vAlign w:val="center"/>
          </w:tcPr>
          <w:p>
            <w:pPr>
              <w:spacing w:after="40" w:line="240" w:lineRule="auto"/>
            </w:pPr>
            <w:r>
              <w:rPr>
                <w:sz w:val="16"/>
              </w:rPr>
              <w:t>Worker → context builder → LLM/provider interface → schema validation + evidence checks → candidate updates in SQLite</w:t>
            </w:r>
          </w:p>
        </w:tc>
      </w:tr>
      <w:tr>
        <w:tc>
          <w:tcPr>
            <w:tcW w:type="dxa" w:w="1944"/>
            <w:vAlign w:val="center"/>
            <w:shd w:fill="F2F6FA"/>
          </w:tcPr>
          <w:p>
            <w:pPr>
              <w:spacing w:after="40" w:line="240" w:lineRule="auto"/>
            </w:pPr>
            <w:r>
              <w:rPr>
                <w:sz w:val="16"/>
              </w:rPr>
              <w:t>User review</w:t>
            </w:r>
          </w:p>
        </w:tc>
        <w:tc>
          <w:tcPr>
            <w:tcW w:type="dxa" w:w="8280"/>
            <w:vAlign w:val="center"/>
            <w:shd w:fill="F2F6FA"/>
          </w:tcPr>
          <w:p>
            <w:pPr>
              <w:spacing w:after="40" w:line="240" w:lineRule="auto"/>
            </w:pPr>
            <w:r>
              <w:rPr>
                <w:sz w:val="16"/>
              </w:rPr>
              <w:t>Inbox UI → review service → accepted/rejected corrections and action state changes</w:t>
            </w:r>
          </w:p>
        </w:tc>
      </w:tr>
      <w:tr>
        <w:tc>
          <w:tcPr>
            <w:tcW w:type="dxa" w:w="1944"/>
            <w:vAlign w:val="center"/>
          </w:tcPr>
          <w:p>
            <w:pPr>
              <w:spacing w:after="40" w:line="240" w:lineRule="auto"/>
            </w:pPr>
            <w:r>
              <w:rPr>
                <w:sz w:val="16"/>
              </w:rPr>
              <w:t>Outbound action</w:t>
            </w:r>
          </w:p>
        </w:tc>
        <w:tc>
          <w:tcPr>
            <w:tcW w:type="dxa" w:w="8280"/>
            <w:vAlign w:val="center"/>
          </w:tcPr>
          <w:p>
            <w:pPr>
              <w:spacing w:after="40" w:line="240" w:lineRule="auto"/>
            </w:pPr>
            <w:r>
              <w:rPr>
                <w:sz w:val="16"/>
              </w:rPr>
              <w:t>Draft → policy evaluation → approval record bound to payload → executor → channel adapter → delivery result + audit event</w:t>
            </w:r>
          </w:p>
        </w:tc>
      </w:tr>
      <w:tr>
        <w:tc>
          <w:tcPr>
            <w:tcW w:type="dxa" w:w="1944"/>
            <w:vAlign w:val="center"/>
            <w:shd w:fill="F2F6FA"/>
          </w:tcPr>
          <w:p>
            <w:pPr>
              <w:spacing w:after="40" w:line="240" w:lineRule="auto"/>
            </w:pPr>
            <w:r>
              <w:rPr>
                <w:sz w:val="16"/>
              </w:rPr>
              <w:t>Operations</w:t>
            </w:r>
          </w:p>
        </w:tc>
        <w:tc>
          <w:tcPr>
            <w:tcW w:type="dxa" w:w="8280"/>
            <w:vAlign w:val="center"/>
            <w:shd w:fill="F2F6FA"/>
          </w:tcPr>
          <w:p>
            <w:pPr>
              <w:spacing w:after="40" w:line="240" w:lineRule="auto"/>
            </w:pPr>
            <w:r>
              <w:rPr>
                <w:sz w:val="16"/>
              </w:rPr>
              <w:t>Health monitor + logs → status view; scheduled backup → encrypted local/attached backup target → restore procedure</w:t>
            </w:r>
          </w:p>
        </w:tc>
      </w:tr>
    </w:tbl>
    <w:p>
      <w:pPr>
        <w:spacing w:after="20"/>
      </w:pPr>
    </w:p>
    <w:p>
      <w:r>
        <w:t>The model provider receives only the minimum context needed for a task. The adapter should not hand raw credentials to the intelligence layer. A provider response is untrusted input: validate its schema, reference IDs, and allowed action types before storing it.</w:t>
      </w:r>
    </w:p>
    <w:p>
      <w:pPr>
        <w:pStyle w:val="Heading2"/>
      </w:pPr>
      <w:r>
        <w:t>6.3 Event and data flows</w:t>
      </w:r>
    </w:p>
    <w:p>
      <w:pPr>
        <w:pStyle w:val="ListNumber"/>
      </w:pPr>
      <w:r>
        <w:t>Adapter detects or receives a source update and stores it in an idempotent ingestion boundary before acknowledging it, where the integration permits this ordering.</w:t>
      </w:r>
    </w:p>
    <w:p>
      <w:pPr>
        <w:pStyle w:val="ListNumber"/>
      </w:pPr>
      <w:r>
        <w:t>Normalizer creates or updates canonical records and attaches source provenance. Updates to existing messages are represented without discarding prior evidence when the source exposes edits.</w:t>
      </w:r>
    </w:p>
    <w:p>
      <w:pPr>
        <w:pStyle w:val="ListNumber"/>
      </w:pPr>
      <w:r>
        <w:t>A background job is queued for triage. The worker builds a bounded context from the message, conversation, relevant person facts, and recent actions.</w:t>
      </w:r>
    </w:p>
    <w:p>
      <w:pPr>
        <w:pStyle w:val="ListNumber"/>
      </w:pPr>
      <w:r>
        <w:t>The semantic component returns structured candidates with evidence references and confidence. Validation rejects unknown IDs and unsupported fields; it does not create outbound side effects.</w:t>
      </w:r>
    </w:p>
    <w:p>
      <w:pPr>
        <w:pStyle w:val="ListNumber"/>
      </w:pPr>
      <w:r>
        <w:t>The user reviews candidates. Accepted items create or update actions and confirmed memory. Rejected or edited items are retained as corrections.</w:t>
      </w:r>
    </w:p>
    <w:p>
      <w:pPr>
        <w:pStyle w:val="ListNumber"/>
      </w:pPr>
      <w:r>
        <w:t>When communication is desired, the system prepares a draft. Deterministic policy checks channel capability, recipient certainty, risk category, account scope, and required approval.</w:t>
      </w:r>
    </w:p>
    <w:p>
      <w:pPr>
        <w:pStyle w:val="ListNumber"/>
      </w:pPr>
      <w:r>
        <w:t>The approval screen shows exact destination and content. On approval, the system revalidates policy and payload hash, executes once using an idempotency key where supported, and records the result or an uncertain state requiring reconciliation.</w:t>
      </w:r>
    </w:p>
    <w:p>
      <w:pPr>
        <w:pStyle w:val="Heading2"/>
      </w:pPr>
      <w:r>
        <w:t>6.4 Canonical data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016"/>
            <w:shd w:fill="24476B"/>
            <w:vAlign w:val="center"/>
          </w:tcPr>
          <w:p>
            <w:r>
              <w:rPr>
                <w:b/>
                <w:color w:val="FFFFFF"/>
                <w:sz w:val="15"/>
              </w:rPr>
              <w:t>Entity</w:t>
            </w:r>
          </w:p>
        </w:tc>
        <w:tc>
          <w:tcPr>
            <w:tcW w:type="dxa" w:w="8208"/>
            <w:shd w:fill="24476B"/>
            <w:vAlign w:val="center"/>
          </w:tcPr>
          <w:p>
            <w:r>
              <w:rPr>
                <w:b/>
                <w:color w:val="FFFFFF"/>
                <w:sz w:val="15"/>
              </w:rPr>
              <w:t>Core fields and relationships</w:t>
            </w:r>
          </w:p>
        </w:tc>
      </w:tr>
      <w:tr>
        <w:tc>
          <w:tcPr>
            <w:tcW w:type="dxa" w:w="2016"/>
            <w:vAlign w:val="center"/>
          </w:tcPr>
          <w:p>
            <w:pPr>
              <w:spacing w:after="40" w:line="240" w:lineRule="auto"/>
            </w:pPr>
            <w:r>
              <w:rPr>
                <w:sz w:val="15"/>
              </w:rPr>
              <w:t>Account</w:t>
            </w:r>
          </w:p>
        </w:tc>
        <w:tc>
          <w:tcPr>
            <w:tcW w:type="dxa" w:w="8208"/>
            <w:vAlign w:val="center"/>
          </w:tcPr>
          <w:p>
            <w:pPr>
              <w:spacing w:after="40" w:line="240" w:lineRule="auto"/>
            </w:pPr>
            <w:r>
              <w:rPr>
                <w:sz w:val="15"/>
              </w:rPr>
              <w:t>id, owner_id, channel_type, provider_account_ref, display_name, status, capability_flags, created_at. Secret references point to Keychain, not stored tokens.</w:t>
            </w:r>
          </w:p>
        </w:tc>
      </w:tr>
      <w:tr>
        <w:tc>
          <w:tcPr>
            <w:tcW w:type="dxa" w:w="2016"/>
            <w:vAlign w:val="center"/>
            <w:shd w:fill="F2F6FA"/>
          </w:tcPr>
          <w:p>
            <w:pPr>
              <w:spacing w:after="40" w:line="240" w:lineRule="auto"/>
            </w:pPr>
            <w:r>
              <w:rPr>
                <w:sz w:val="15"/>
              </w:rPr>
              <w:t>Person</w:t>
            </w:r>
          </w:p>
        </w:tc>
        <w:tc>
          <w:tcPr>
            <w:tcW w:type="dxa" w:w="8208"/>
            <w:vAlign w:val="center"/>
            <w:shd w:fill="F2F6FA"/>
          </w:tcPr>
          <w:p>
            <w:pPr>
              <w:spacing w:after="40" w:line="240" w:lineRule="auto"/>
            </w:pPr>
            <w:r>
              <w:rPr>
                <w:sz w:val="15"/>
              </w:rPr>
              <w:t>id, display_name, aliases, normalized identifiers, relationship notes, sensitivity labels, merge history.</w:t>
            </w:r>
          </w:p>
        </w:tc>
      </w:tr>
      <w:tr>
        <w:tc>
          <w:tcPr>
            <w:tcW w:type="dxa" w:w="2016"/>
            <w:vAlign w:val="center"/>
          </w:tcPr>
          <w:p>
            <w:pPr>
              <w:spacing w:after="40" w:line="240" w:lineRule="auto"/>
            </w:pPr>
            <w:r>
              <w:rPr>
                <w:sz w:val="15"/>
              </w:rPr>
              <w:t>Conversation</w:t>
            </w:r>
          </w:p>
        </w:tc>
        <w:tc>
          <w:tcPr>
            <w:tcW w:type="dxa" w:w="8208"/>
            <w:vAlign w:val="center"/>
          </w:tcPr>
          <w:p>
            <w:pPr>
              <w:spacing w:after="40" w:line="240" w:lineRule="auto"/>
            </w:pPr>
            <w:r>
              <w:rPr>
                <w:sz w:val="15"/>
              </w:rPr>
              <w:t>id, account_id, channel, provider_thread_ref, participant links, title, last_activity_at, triage state.</w:t>
            </w:r>
          </w:p>
        </w:tc>
      </w:tr>
      <w:tr>
        <w:tc>
          <w:tcPr>
            <w:tcW w:type="dxa" w:w="2016"/>
            <w:vAlign w:val="center"/>
            <w:shd w:fill="F2F6FA"/>
          </w:tcPr>
          <w:p>
            <w:pPr>
              <w:spacing w:after="40" w:line="240" w:lineRule="auto"/>
            </w:pPr>
            <w:r>
              <w:rPr>
                <w:sz w:val="15"/>
              </w:rPr>
              <w:t>Message</w:t>
            </w:r>
          </w:p>
        </w:tc>
        <w:tc>
          <w:tcPr>
            <w:tcW w:type="dxa" w:w="8208"/>
            <w:vAlign w:val="center"/>
            <w:shd w:fill="F2F6FA"/>
          </w:tcPr>
          <w:p>
            <w:pPr>
              <w:spacing w:after="40" w:line="240" w:lineRule="auto"/>
            </w:pPr>
            <w:r>
              <w:rPr>
                <w:sz w:val="15"/>
              </w:rPr>
              <w:t>id, conversation_id, provider_message_ref, direction, sender/recipient refs, body, timestamps, content type, source status, raw metadata JSON, content hash.</w:t>
            </w:r>
          </w:p>
        </w:tc>
      </w:tr>
      <w:tr>
        <w:tc>
          <w:tcPr>
            <w:tcW w:type="dxa" w:w="2016"/>
            <w:vAlign w:val="center"/>
          </w:tcPr>
          <w:p>
            <w:pPr>
              <w:spacing w:after="40" w:line="240" w:lineRule="auto"/>
            </w:pPr>
            <w:r>
              <w:rPr>
                <w:sz w:val="15"/>
              </w:rPr>
              <w:t>Evidence</w:t>
            </w:r>
          </w:p>
        </w:tc>
        <w:tc>
          <w:tcPr>
            <w:tcW w:type="dxa" w:w="8208"/>
            <w:vAlign w:val="center"/>
          </w:tcPr>
          <w:p>
            <w:pPr>
              <w:spacing w:after="40" w:line="240" w:lineRule="auto"/>
            </w:pPr>
            <w:r>
              <w:rPr>
                <w:sz w:val="15"/>
              </w:rPr>
              <w:t>id, kind (message/user_note/system_record), source reference, author, observed_at, captured_at, immutable content snapshot or safe pointer.</w:t>
            </w:r>
          </w:p>
        </w:tc>
      </w:tr>
      <w:tr>
        <w:tc>
          <w:tcPr>
            <w:tcW w:type="dxa" w:w="2016"/>
            <w:vAlign w:val="center"/>
            <w:shd w:fill="F2F6FA"/>
          </w:tcPr>
          <w:p>
            <w:pPr>
              <w:spacing w:after="40" w:line="240" w:lineRule="auto"/>
            </w:pPr>
            <w:r>
              <w:rPr>
                <w:sz w:val="15"/>
              </w:rPr>
              <w:t>Fact / memory</w:t>
            </w:r>
          </w:p>
        </w:tc>
        <w:tc>
          <w:tcPr>
            <w:tcW w:type="dxa" w:w="8208"/>
            <w:vAlign w:val="center"/>
            <w:shd w:fill="F2F6FA"/>
          </w:tcPr>
          <w:p>
            <w:pPr>
              <w:spacing w:after="40" w:line="240" w:lineRule="auto"/>
            </w:pPr>
            <w:r>
              <w:rPr>
                <w:sz w:val="15"/>
              </w:rPr>
              <w:t>id, person_id, fact_type, value, source_evidence_id, confidence, status (candidate/confirmed/rejected/superseded), valid time, recorded time.</w:t>
            </w:r>
          </w:p>
        </w:tc>
      </w:tr>
      <w:tr>
        <w:tc>
          <w:tcPr>
            <w:tcW w:type="dxa" w:w="2016"/>
            <w:vAlign w:val="center"/>
          </w:tcPr>
          <w:p>
            <w:pPr>
              <w:spacing w:after="40" w:line="240" w:lineRule="auto"/>
            </w:pPr>
            <w:r>
              <w:rPr>
                <w:sz w:val="15"/>
              </w:rPr>
              <w:t>Action item</w:t>
            </w:r>
          </w:p>
        </w:tc>
        <w:tc>
          <w:tcPr>
            <w:tcW w:type="dxa" w:w="8208"/>
            <w:vAlign w:val="center"/>
          </w:tcPr>
          <w:p>
            <w:pPr>
              <w:spacing w:after="40" w:line="240" w:lineRule="auto"/>
            </w:pPr>
            <w:r>
              <w:rPr>
                <w:sz w:val="15"/>
              </w:rPr>
              <w:t>id, title, description, status, owner, due_at, priority, origin_evidence_id, linked_person/conversation, created/updated timestamps.</w:t>
            </w:r>
          </w:p>
        </w:tc>
      </w:tr>
      <w:tr>
        <w:tc>
          <w:tcPr>
            <w:tcW w:type="dxa" w:w="2016"/>
            <w:vAlign w:val="center"/>
            <w:shd w:fill="F2F6FA"/>
          </w:tcPr>
          <w:p>
            <w:pPr>
              <w:spacing w:after="40" w:line="240" w:lineRule="auto"/>
            </w:pPr>
            <w:r>
              <w:rPr>
                <w:sz w:val="15"/>
              </w:rPr>
              <w:t>Suggestion</w:t>
            </w:r>
          </w:p>
        </w:tc>
        <w:tc>
          <w:tcPr>
            <w:tcW w:type="dxa" w:w="8208"/>
            <w:vAlign w:val="center"/>
            <w:shd w:fill="F2F6FA"/>
          </w:tcPr>
          <w:p>
            <w:pPr>
              <w:spacing w:after="40" w:line="240" w:lineRule="auto"/>
            </w:pPr>
            <w:r>
              <w:rPr>
                <w:sz w:val="15"/>
              </w:rPr>
              <w:t>id, target, type, structured payload, confidence, evidence refs, model/prompt version, state, created_at.</w:t>
            </w:r>
          </w:p>
        </w:tc>
      </w:tr>
      <w:tr>
        <w:tc>
          <w:tcPr>
            <w:tcW w:type="dxa" w:w="2016"/>
            <w:vAlign w:val="center"/>
          </w:tcPr>
          <w:p>
            <w:pPr>
              <w:spacing w:after="40" w:line="240" w:lineRule="auto"/>
            </w:pPr>
            <w:r>
              <w:rPr>
                <w:sz w:val="15"/>
              </w:rPr>
              <w:t>Draft</w:t>
            </w:r>
          </w:p>
        </w:tc>
        <w:tc>
          <w:tcPr>
            <w:tcW w:type="dxa" w:w="8208"/>
            <w:vAlign w:val="center"/>
          </w:tcPr>
          <w:p>
            <w:pPr>
              <w:spacing w:after="40" w:line="240" w:lineRule="auto"/>
            </w:pPr>
            <w:r>
              <w:rPr>
                <w:sz w:val="15"/>
              </w:rPr>
              <w:t>id, channel/account, recipient ref, content, source refs, version, status, payload_hash.</w:t>
            </w:r>
          </w:p>
        </w:tc>
      </w:tr>
      <w:tr>
        <w:tc>
          <w:tcPr>
            <w:tcW w:type="dxa" w:w="2016"/>
            <w:vAlign w:val="center"/>
            <w:shd w:fill="F2F6FA"/>
          </w:tcPr>
          <w:p>
            <w:pPr>
              <w:spacing w:after="40" w:line="240" w:lineRule="auto"/>
            </w:pPr>
            <w:r>
              <w:rPr>
                <w:sz w:val="15"/>
              </w:rPr>
              <w:t>Approval</w:t>
            </w:r>
          </w:p>
        </w:tc>
        <w:tc>
          <w:tcPr>
            <w:tcW w:type="dxa" w:w="8208"/>
            <w:vAlign w:val="center"/>
            <w:shd w:fill="F2F6FA"/>
          </w:tcPr>
          <w:p>
            <w:pPr>
              <w:spacing w:after="40" w:line="240" w:lineRule="auto"/>
            </w:pPr>
            <w:r>
              <w:rPr>
                <w:sz w:val="15"/>
              </w:rPr>
              <w:t>id, draft/action ref, approver, approved_payload_hash, policy_version, approved_at, expiry, revoked_at.</w:t>
            </w:r>
          </w:p>
        </w:tc>
      </w:tr>
      <w:tr>
        <w:tc>
          <w:tcPr>
            <w:tcW w:type="dxa" w:w="2016"/>
            <w:vAlign w:val="center"/>
          </w:tcPr>
          <w:p>
            <w:pPr>
              <w:spacing w:after="40" w:line="240" w:lineRule="auto"/>
            </w:pPr>
            <w:r>
              <w:rPr>
                <w:sz w:val="15"/>
              </w:rPr>
              <w:t>Execution / audit event</w:t>
            </w:r>
          </w:p>
        </w:tc>
        <w:tc>
          <w:tcPr>
            <w:tcW w:type="dxa" w:w="8208"/>
            <w:vAlign w:val="center"/>
          </w:tcPr>
          <w:p>
            <w:pPr>
              <w:spacing w:after="40" w:line="240" w:lineRule="auto"/>
            </w:pPr>
            <w:r>
              <w:rPr>
                <w:sz w:val="15"/>
              </w:rPr>
              <w:t>id, action, account, policy decision, approval ref, idempotency key, attempt/result, timestamps, safe diagnostic detail.</w:t>
            </w:r>
          </w:p>
        </w:tc>
      </w:tr>
      <w:tr>
        <w:tc>
          <w:tcPr>
            <w:tcW w:type="dxa" w:w="2016"/>
            <w:vAlign w:val="center"/>
            <w:shd w:fill="F2F6FA"/>
          </w:tcPr>
          <w:p>
            <w:pPr>
              <w:spacing w:after="40" w:line="240" w:lineRule="auto"/>
            </w:pPr>
            <w:r>
              <w:rPr>
                <w:sz w:val="15"/>
              </w:rPr>
              <w:t>Job</w:t>
            </w:r>
          </w:p>
        </w:tc>
        <w:tc>
          <w:tcPr>
            <w:tcW w:type="dxa" w:w="8208"/>
            <w:vAlign w:val="center"/>
            <w:shd w:fill="F2F6FA"/>
          </w:tcPr>
          <w:p>
            <w:pPr>
              <w:spacing w:after="40" w:line="240" w:lineRule="auto"/>
            </w:pPr>
            <w:r>
              <w:rPr>
                <w:sz w:val="15"/>
              </w:rPr>
              <w:t>id, kind, payload reference, state, attempts, next_attempt_at, lease, dedupe_key, last_error_code.</w:t>
            </w:r>
          </w:p>
        </w:tc>
      </w:tr>
    </w:tbl>
    <w:p>
      <w:pPr>
        <w:spacing w:after="20"/>
      </w:pPr>
    </w:p>
    <w:p>
      <w:r>
        <w:t>Use append-only provenance for externally observed facts and audit decisions. Mutable views such as current triage status can be updated while retaining an event history. Store message bodies as text initially; media can be represented by metadata and controlled local file references until a clear need and retention policy exist.</w:t>
      </w:r>
    </w:p>
    <w:p>
      <w:pPr>
        <w:pStyle w:val="Heading2"/>
      </w:pPr>
      <w:r>
        <w:t>6.5 Storage and technology recommendations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800"/>
            <w:shd w:fill="24476B"/>
            <w:vAlign w:val="center"/>
          </w:tcPr>
          <w:p>
            <w:r>
              <w:rPr>
                <w:b/>
                <w:color w:val="FFFFFF"/>
                <w:sz w:val="14"/>
              </w:rPr>
              <w:t>Area</w:t>
            </w:r>
          </w:p>
        </w:tc>
        <w:tc>
          <w:tcPr>
            <w:tcW w:type="dxa" w:w="4104"/>
            <w:shd w:fill="24476B"/>
            <w:vAlign w:val="center"/>
          </w:tcPr>
          <w:p>
            <w:r>
              <w:rPr>
                <w:b/>
                <w:color w:val="FFFFFF"/>
                <w:sz w:val="14"/>
              </w:rPr>
              <w:t>Recommendation for MVP</w:t>
            </w:r>
          </w:p>
        </w:tc>
        <w:tc>
          <w:tcPr>
            <w:tcW w:type="dxa" w:w="4320"/>
            <w:shd w:fill="24476B"/>
            <w:vAlign w:val="center"/>
          </w:tcPr>
          <w:p>
            <w:r>
              <w:rPr>
                <w:b/>
                <w:color w:val="FFFFFF"/>
                <w:sz w:val="14"/>
              </w:rPr>
              <w:t>Reason / note</w:t>
            </w:r>
          </w:p>
        </w:tc>
      </w:tr>
      <w:tr>
        <w:tc>
          <w:tcPr>
            <w:tcW w:type="dxa" w:w="1800"/>
            <w:vAlign w:val="center"/>
          </w:tcPr>
          <w:p>
            <w:pPr>
              <w:spacing w:after="40" w:line="240" w:lineRule="auto"/>
            </w:pPr>
            <w:r>
              <w:rPr>
                <w:sz w:val="14"/>
              </w:rPr>
              <w:t>Runtime</w:t>
            </w:r>
          </w:p>
        </w:tc>
        <w:tc>
          <w:tcPr>
            <w:tcW w:type="dxa" w:w="4104"/>
            <w:vAlign w:val="center"/>
          </w:tcPr>
          <w:p>
            <w:pPr>
              <w:spacing w:after="40" w:line="240" w:lineRule="auto"/>
            </w:pPr>
            <w:r>
              <w:rPr>
                <w:sz w:val="14"/>
              </w:rPr>
              <w:t>Python 3.12+ or TypeScript/Node, choosing the language already used by the existing project.</w:t>
            </w:r>
          </w:p>
        </w:tc>
        <w:tc>
          <w:tcPr>
            <w:tcW w:type="dxa" w:w="4320"/>
            <w:vAlign w:val="center"/>
          </w:tcPr>
          <w:p>
            <w:pPr>
              <w:spacing w:after="40" w:line="240" w:lineRule="auto"/>
            </w:pPr>
            <w:r>
              <w:rPr>
                <w:sz w:val="14"/>
              </w:rPr>
              <w:t>Avoid introducing a second stack without a concrete benefit.</w:t>
            </w:r>
          </w:p>
        </w:tc>
      </w:tr>
      <w:tr>
        <w:tc>
          <w:tcPr>
            <w:tcW w:type="dxa" w:w="1800"/>
            <w:vAlign w:val="center"/>
            <w:shd w:fill="F2F6FA"/>
          </w:tcPr>
          <w:p>
            <w:pPr>
              <w:spacing w:after="40" w:line="240" w:lineRule="auto"/>
            </w:pPr>
            <w:r>
              <w:rPr>
                <w:sz w:val="14"/>
              </w:rPr>
              <w:t>Local interface</w:t>
            </w:r>
          </w:p>
        </w:tc>
        <w:tc>
          <w:tcPr>
            <w:tcW w:type="dxa" w:w="4104"/>
            <w:vAlign w:val="center"/>
            <w:shd w:fill="F2F6FA"/>
          </w:tcPr>
          <w:p>
            <w:pPr>
              <w:spacing w:after="40" w:line="240" w:lineRule="auto"/>
            </w:pPr>
            <w:r>
              <w:rPr>
                <w:sz w:val="14"/>
              </w:rPr>
              <w:t>Small local web app or native wrapper, bound to localhost; responsive review and capture screens.</w:t>
            </w:r>
          </w:p>
        </w:tc>
        <w:tc>
          <w:tcPr>
            <w:tcW w:type="dxa" w:w="4320"/>
            <w:vAlign w:val="center"/>
            <w:shd w:fill="F2F6FA"/>
          </w:tcPr>
          <w:p>
            <w:pPr>
              <w:spacing w:after="40" w:line="240" w:lineRule="auto"/>
            </w:pPr>
            <w:r>
              <w:rPr>
                <w:sz w:val="14"/>
              </w:rPr>
              <w:t>Fast iteration and easy operation on the Mac mini.</w:t>
            </w:r>
          </w:p>
        </w:tc>
      </w:tr>
      <w:tr>
        <w:tc>
          <w:tcPr>
            <w:tcW w:type="dxa" w:w="1800"/>
            <w:vAlign w:val="center"/>
          </w:tcPr>
          <w:p>
            <w:pPr>
              <w:spacing w:after="40" w:line="240" w:lineRule="auto"/>
            </w:pPr>
            <w:r>
              <w:rPr>
                <w:sz w:val="14"/>
              </w:rPr>
              <w:t>Database</w:t>
            </w:r>
          </w:p>
        </w:tc>
        <w:tc>
          <w:tcPr>
            <w:tcW w:type="dxa" w:w="4104"/>
            <w:vAlign w:val="center"/>
          </w:tcPr>
          <w:p>
            <w:pPr>
              <w:spacing w:after="40" w:line="240" w:lineRule="auto"/>
            </w:pPr>
            <w:r>
              <w:rPr>
                <w:sz w:val="14"/>
              </w:rPr>
              <w:t>SQLite in WAL mode with foreign keys, migrations, backups, and explicit schema version.</w:t>
            </w:r>
          </w:p>
        </w:tc>
        <w:tc>
          <w:tcPr>
            <w:tcW w:type="dxa" w:w="4320"/>
            <w:vAlign w:val="center"/>
          </w:tcPr>
          <w:p>
            <w:pPr>
              <w:spacing w:after="40" w:line="240" w:lineRule="auto"/>
            </w:pPr>
            <w:r>
              <w:rPr>
                <w:sz w:val="14"/>
              </w:rPr>
              <w:t>Fits one owner and modest traffic; easy to inspect and restore.</w:t>
            </w:r>
          </w:p>
        </w:tc>
      </w:tr>
      <w:tr>
        <w:tc>
          <w:tcPr>
            <w:tcW w:type="dxa" w:w="1800"/>
            <w:vAlign w:val="center"/>
            <w:shd w:fill="F2F6FA"/>
          </w:tcPr>
          <w:p>
            <w:pPr>
              <w:spacing w:after="40" w:line="240" w:lineRule="auto"/>
            </w:pPr>
            <w:r>
              <w:rPr>
                <w:sz w:val="14"/>
              </w:rPr>
              <w:t>Background work</w:t>
            </w:r>
          </w:p>
        </w:tc>
        <w:tc>
          <w:tcPr>
            <w:tcW w:type="dxa" w:w="4104"/>
            <w:vAlign w:val="center"/>
            <w:shd w:fill="F2F6FA"/>
          </w:tcPr>
          <w:p>
            <w:pPr>
              <w:spacing w:after="40" w:line="240" w:lineRule="auto"/>
            </w:pPr>
            <w:r>
              <w:rPr>
                <w:sz w:val="14"/>
              </w:rPr>
              <w:t>SQLite-backed jobs with leases/retries, or a small worker process; avoid Redis initially.</w:t>
            </w:r>
          </w:p>
        </w:tc>
        <w:tc>
          <w:tcPr>
            <w:tcW w:type="dxa" w:w="4320"/>
            <w:vAlign w:val="center"/>
            <w:shd w:fill="F2F6FA"/>
          </w:tcPr>
          <w:p>
            <w:pPr>
              <w:spacing w:after="40" w:line="240" w:lineRule="auto"/>
            </w:pPr>
            <w:r>
              <w:rPr>
                <w:sz w:val="14"/>
              </w:rPr>
              <w:t>Durable enough for the scale while keeping deployment simple.</w:t>
            </w:r>
          </w:p>
        </w:tc>
      </w:tr>
      <w:tr>
        <w:tc>
          <w:tcPr>
            <w:tcW w:type="dxa" w:w="1800"/>
            <w:vAlign w:val="center"/>
          </w:tcPr>
          <w:p>
            <w:pPr>
              <w:spacing w:after="40" w:line="240" w:lineRule="auto"/>
            </w:pPr>
            <w:r>
              <w:rPr>
                <w:sz w:val="14"/>
              </w:rPr>
              <w:t>Search</w:t>
            </w:r>
          </w:p>
        </w:tc>
        <w:tc>
          <w:tcPr>
            <w:tcW w:type="dxa" w:w="4104"/>
            <w:vAlign w:val="center"/>
          </w:tcPr>
          <w:p>
            <w:pPr>
              <w:spacing w:after="40" w:line="240" w:lineRule="auto"/>
            </w:pPr>
            <w:r>
              <w:rPr>
                <w:sz w:val="14"/>
              </w:rPr>
              <w:t>SQLite FTS5 for text search; add semantic/vector retrieval only if measured retrieval quality warrants it.</w:t>
            </w:r>
          </w:p>
        </w:tc>
        <w:tc>
          <w:tcPr>
            <w:tcW w:type="dxa" w:w="4320"/>
            <w:vAlign w:val="center"/>
          </w:tcPr>
          <w:p>
            <w:pPr>
              <w:spacing w:after="40" w:line="240" w:lineRule="auto"/>
            </w:pPr>
            <w:r>
              <w:rPr>
                <w:sz w:val="14"/>
              </w:rPr>
              <w:t>Simple, local, and understandable.</w:t>
            </w:r>
          </w:p>
        </w:tc>
      </w:tr>
      <w:tr>
        <w:tc>
          <w:tcPr>
            <w:tcW w:type="dxa" w:w="1800"/>
            <w:vAlign w:val="center"/>
            <w:shd w:fill="F2F6FA"/>
          </w:tcPr>
          <w:p>
            <w:pPr>
              <w:spacing w:after="40" w:line="240" w:lineRule="auto"/>
            </w:pPr>
            <w:r>
              <w:rPr>
                <w:sz w:val="14"/>
              </w:rPr>
              <w:t>Models</w:t>
            </w:r>
          </w:p>
        </w:tc>
        <w:tc>
          <w:tcPr>
            <w:tcW w:type="dxa" w:w="4104"/>
            <w:vAlign w:val="center"/>
            <w:shd w:fill="F2F6FA"/>
          </w:tcPr>
          <w:p>
            <w:pPr>
              <w:spacing w:after="40" w:line="240" w:lineRule="auto"/>
            </w:pPr>
            <w:r>
              <w:rPr>
                <w:sz w:val="14"/>
              </w:rPr>
              <w:t>Provider interface for hosted or local models; structured outputs, timeouts, bounded context, and model/version tracking.</w:t>
            </w:r>
          </w:p>
        </w:tc>
        <w:tc>
          <w:tcPr>
            <w:tcW w:type="dxa" w:w="4320"/>
            <w:vAlign w:val="center"/>
            <w:shd w:fill="F2F6FA"/>
          </w:tcPr>
          <w:p>
            <w:pPr>
              <w:spacing w:after="40" w:line="240" w:lineRule="auto"/>
            </w:pPr>
            <w:r>
              <w:rPr>
                <w:sz w:val="14"/>
              </w:rPr>
              <w:t>LLMs handle ambiguous language; deterministic services own state and permissions.</w:t>
            </w:r>
          </w:p>
        </w:tc>
      </w:tr>
      <w:tr>
        <w:tc>
          <w:tcPr>
            <w:tcW w:type="dxa" w:w="1800"/>
            <w:vAlign w:val="center"/>
          </w:tcPr>
          <w:p>
            <w:pPr>
              <w:spacing w:after="40" w:line="240" w:lineRule="auto"/>
            </w:pPr>
            <w:r>
              <w:rPr>
                <w:sz w:val="14"/>
              </w:rPr>
              <w:t>Secrets</w:t>
            </w:r>
          </w:p>
        </w:tc>
        <w:tc>
          <w:tcPr>
            <w:tcW w:type="dxa" w:w="4104"/>
            <w:vAlign w:val="center"/>
          </w:tcPr>
          <w:p>
            <w:pPr>
              <w:spacing w:after="40" w:line="240" w:lineRule="auto"/>
            </w:pPr>
            <w:r>
              <w:rPr>
                <w:sz w:val="14"/>
              </w:rPr>
              <w:t>macOS Keychain for tokens; config file contains non-secret settings only.</w:t>
            </w:r>
          </w:p>
        </w:tc>
        <w:tc>
          <w:tcPr>
            <w:tcW w:type="dxa" w:w="4320"/>
            <w:vAlign w:val="center"/>
          </w:tcPr>
          <w:p>
            <w:pPr>
              <w:spacing w:after="40" w:line="240" w:lineRule="auto"/>
            </w:pPr>
            <w:r>
              <w:rPr>
                <w:sz w:val="14"/>
              </w:rPr>
              <w:t>Reduces accidental credential exposure in backups/logs.</w:t>
            </w:r>
          </w:p>
        </w:tc>
      </w:tr>
      <w:tr>
        <w:tc>
          <w:tcPr>
            <w:tcW w:type="dxa" w:w="1800"/>
            <w:vAlign w:val="center"/>
            <w:shd w:fill="F2F6FA"/>
          </w:tcPr>
          <w:p>
            <w:pPr>
              <w:spacing w:after="40" w:line="240" w:lineRule="auto"/>
            </w:pPr>
            <w:r>
              <w:rPr>
                <w:sz w:val="14"/>
              </w:rPr>
              <w:t>Deployment</w:t>
            </w:r>
          </w:p>
        </w:tc>
        <w:tc>
          <w:tcPr>
            <w:tcW w:type="dxa" w:w="4104"/>
            <w:vAlign w:val="center"/>
            <w:shd w:fill="F2F6FA"/>
          </w:tcPr>
          <w:p>
            <w:pPr>
              <w:spacing w:after="40" w:line="240" w:lineRule="auto"/>
            </w:pPr>
            <w:r>
              <w:rPr>
                <w:sz w:val="14"/>
              </w:rPr>
              <w:t>LaunchAgent or supervised local service with restart policy; run under a dedicated macOS user where practical.</w:t>
            </w:r>
          </w:p>
        </w:tc>
        <w:tc>
          <w:tcPr>
            <w:tcW w:type="dxa" w:w="4320"/>
            <w:vAlign w:val="center"/>
            <w:shd w:fill="F2F6FA"/>
          </w:tcPr>
          <w:p>
            <w:pPr>
              <w:spacing w:after="40" w:line="240" w:lineRule="auto"/>
            </w:pPr>
            <w:r>
              <w:rPr>
                <w:sz w:val="14"/>
              </w:rPr>
              <w:t>Simple persistent operation on a Mac mini; document upgrades and rollback.</w:t>
            </w:r>
          </w:p>
        </w:tc>
      </w:tr>
      <w:tr>
        <w:tc>
          <w:tcPr>
            <w:tcW w:type="dxa" w:w="1800"/>
            <w:vAlign w:val="center"/>
          </w:tcPr>
          <w:p>
            <w:pPr>
              <w:spacing w:after="40" w:line="240" w:lineRule="auto"/>
            </w:pPr>
            <w:r>
              <w:rPr>
                <w:sz w:val="14"/>
              </w:rPr>
              <w:t>Backups</w:t>
            </w:r>
          </w:p>
        </w:tc>
        <w:tc>
          <w:tcPr>
            <w:tcW w:type="dxa" w:w="4104"/>
            <w:vAlign w:val="center"/>
          </w:tcPr>
          <w:p>
            <w:pPr>
              <w:spacing w:after="40" w:line="240" w:lineRule="auto"/>
            </w:pPr>
            <w:r>
              <w:rPr>
                <w:sz w:val="14"/>
              </w:rPr>
              <w:t>SQLite online backup API/snapshot, encrypted backup destination, retention window, and restore test.</w:t>
            </w:r>
          </w:p>
        </w:tc>
        <w:tc>
          <w:tcPr>
            <w:tcW w:type="dxa" w:w="4320"/>
            <w:vAlign w:val="center"/>
          </w:tcPr>
          <w:p>
            <w:pPr>
              <w:spacing w:after="40" w:line="240" w:lineRule="auto"/>
            </w:pPr>
            <w:r>
              <w:rPr>
                <w:sz w:val="14"/>
              </w:rPr>
              <w:t>Protects local single-device data from corruption or device loss.</w:t>
            </w:r>
          </w:p>
        </w:tc>
      </w:tr>
    </w:tbl>
    <w:p>
      <w:pPr>
        <w:spacing w:after="20"/>
      </w:pPr>
    </w:p>
    <w:p>
      <w:pPr>
        <w:pStyle w:val="Heading2"/>
      </w:pPr>
      <w:r>
        <w:t>6.6 Mac mini deployment</w:t>
      </w:r>
    </w:p>
    <w:p>
      <w:pPr>
        <w:pStyle w:val="ListBullet"/>
      </w:pPr>
      <w:r>
        <w:t>Install as a local service that starts at login or boot through an appropriate macOS service manager; provide a simple stop, start, and pause control.</w:t>
      </w:r>
    </w:p>
    <w:p>
      <w:pPr>
        <w:pStyle w:val="ListBullet"/>
      </w:pPr>
      <w:r>
        <w:t>Bind the UI/API to localhost by default. Remote access is not part of the MVP; if later enabled, require authenticated access and a deliberate network exposure design.</w:t>
      </w:r>
    </w:p>
    <w:p>
      <w:pPr>
        <w:pStyle w:val="ListBullet"/>
      </w:pPr>
      <w:r>
        <w:t>Keep the database and attachments in a documented application data directory, separate from application code. Enable FileVault and OS updates according to the owner’s operating practice.</w:t>
      </w:r>
    </w:p>
    <w:p>
      <w:pPr>
        <w:pStyle w:val="ListBullet"/>
      </w:pPr>
      <w:r>
        <w:t>Use Keychain-backed credentials and restrict file permissions. Avoid storing secrets in environment dumps, crash reports, prompts, or model logs.</w:t>
      </w:r>
    </w:p>
    <w:p>
      <w:pPr>
        <w:pStyle w:val="ListBullet"/>
      </w:pPr>
      <w:r>
        <w:t>Monitor disk space, database health, worker queue age, adapter health, last successful ingestion, and last successful backup.</w:t>
      </w:r>
    </w:p>
    <w:p>
      <w:pPr>
        <w:pStyle w:val="ListBullet"/>
      </w:pPr>
      <w:r>
        <w:t>Back up to a separate encrypted destination; a backup on the same physical disk is not sufficient recovery protection.</w:t>
      </w:r>
    </w:p>
    <w:p>
      <w:pPr>
        <w:pStyle w:val="Heading2"/>
      </w:pPr>
      <w:r>
        <w:t>6.7 Security, privacy, and account isolation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088"/>
            <w:shd w:fill="24476B"/>
            <w:vAlign w:val="center"/>
          </w:tcPr>
          <w:p>
            <w:r>
              <w:rPr>
                <w:b/>
                <w:color w:val="FFFFFF"/>
                <w:sz w:val="15"/>
              </w:rPr>
              <w:t>Control</w:t>
            </w:r>
          </w:p>
        </w:tc>
        <w:tc>
          <w:tcPr>
            <w:tcW w:type="dxa" w:w="8136"/>
            <w:shd w:fill="24476B"/>
            <w:vAlign w:val="center"/>
          </w:tcPr>
          <w:p>
            <w:r>
              <w:rPr>
                <w:b/>
                <w:color w:val="FFFFFF"/>
                <w:sz w:val="15"/>
              </w:rPr>
              <w:t>Design requirement</w:t>
            </w:r>
          </w:p>
        </w:tc>
      </w:tr>
      <w:tr>
        <w:tc>
          <w:tcPr>
            <w:tcW w:type="dxa" w:w="2088"/>
            <w:vAlign w:val="center"/>
          </w:tcPr>
          <w:p>
            <w:pPr>
              <w:spacing w:after="40" w:line="240" w:lineRule="auto"/>
            </w:pPr>
            <w:r>
              <w:rPr>
                <w:sz w:val="15"/>
              </w:rPr>
              <w:t>Data minimization</w:t>
            </w:r>
          </w:p>
        </w:tc>
        <w:tc>
          <w:tcPr>
            <w:tcW w:type="dxa" w:w="8136"/>
            <w:vAlign w:val="center"/>
          </w:tcPr>
          <w:p>
            <w:pPr>
              <w:spacing w:after="40" w:line="240" w:lineRule="auto"/>
            </w:pPr>
            <w:r>
              <w:rPr>
                <w:sz w:val="15"/>
              </w:rPr>
              <w:t>Send only relevant snippets and confirmed context to an LLM; support provider opt-out/retention choices where available.</w:t>
            </w:r>
          </w:p>
        </w:tc>
      </w:tr>
      <w:tr>
        <w:tc>
          <w:tcPr>
            <w:tcW w:type="dxa" w:w="2088"/>
            <w:vAlign w:val="center"/>
            <w:shd w:fill="F2F6FA"/>
          </w:tcPr>
          <w:p>
            <w:pPr>
              <w:spacing w:after="40" w:line="240" w:lineRule="auto"/>
            </w:pPr>
            <w:r>
              <w:rPr>
                <w:sz w:val="15"/>
              </w:rPr>
              <w:t>Prompt injection</w:t>
            </w:r>
          </w:p>
        </w:tc>
        <w:tc>
          <w:tcPr>
            <w:tcW w:type="dxa" w:w="8136"/>
            <w:vAlign w:val="center"/>
            <w:shd w:fill="F2F6FA"/>
          </w:tcPr>
          <w:p>
            <w:pPr>
              <w:spacing w:after="40" w:line="240" w:lineRule="auto"/>
            </w:pPr>
            <w:r>
              <w:rPr>
                <w:sz w:val="15"/>
              </w:rPr>
              <w:t>Treat inbound message content as untrusted data, never as instructions to system tools; tools are allowlisted and policy-gated.</w:t>
            </w:r>
          </w:p>
        </w:tc>
      </w:tr>
      <w:tr>
        <w:tc>
          <w:tcPr>
            <w:tcW w:type="dxa" w:w="2088"/>
            <w:vAlign w:val="center"/>
          </w:tcPr>
          <w:p>
            <w:pPr>
              <w:spacing w:after="40" w:line="240" w:lineRule="auto"/>
            </w:pPr>
            <w:r>
              <w:rPr>
                <w:sz w:val="15"/>
              </w:rPr>
              <w:t>Account boundaries</w:t>
            </w:r>
          </w:p>
        </w:tc>
        <w:tc>
          <w:tcPr>
            <w:tcW w:type="dxa" w:w="8136"/>
            <w:vAlign w:val="center"/>
          </w:tcPr>
          <w:p>
            <w:pPr>
              <w:spacing w:after="40" w:line="240" w:lineRule="auto"/>
            </w:pPr>
            <w:r>
              <w:rPr>
                <w:sz w:val="15"/>
              </w:rPr>
              <w:t>Every conversation, message, draft, and action is scoped to an account. Queries and execution must include account scope; test cross-account isolation before adding a second account.</w:t>
            </w:r>
          </w:p>
        </w:tc>
      </w:tr>
      <w:tr>
        <w:tc>
          <w:tcPr>
            <w:tcW w:type="dxa" w:w="2088"/>
            <w:vAlign w:val="center"/>
            <w:shd w:fill="F2F6FA"/>
          </w:tcPr>
          <w:p>
            <w:pPr>
              <w:spacing w:after="40" w:line="240" w:lineRule="auto"/>
            </w:pPr>
            <w:r>
              <w:rPr>
                <w:sz w:val="15"/>
              </w:rPr>
              <w:t>Approval integrity</w:t>
            </w:r>
          </w:p>
        </w:tc>
        <w:tc>
          <w:tcPr>
            <w:tcW w:type="dxa" w:w="8136"/>
            <w:vAlign w:val="center"/>
            <w:shd w:fill="F2F6FA"/>
          </w:tcPr>
          <w:p>
            <w:pPr>
              <w:spacing w:after="40" w:line="240" w:lineRule="auto"/>
            </w:pPr>
            <w:r>
              <w:rPr>
                <w:sz w:val="15"/>
              </w:rPr>
              <w:t>Approval binds to action type, channel account, recipient, content, and expiry. Any material change invalidates approval.</w:t>
            </w:r>
          </w:p>
        </w:tc>
      </w:tr>
      <w:tr>
        <w:tc>
          <w:tcPr>
            <w:tcW w:type="dxa" w:w="2088"/>
            <w:vAlign w:val="center"/>
          </w:tcPr>
          <w:p>
            <w:pPr>
              <w:spacing w:after="40" w:line="240" w:lineRule="auto"/>
            </w:pPr>
            <w:r>
              <w:rPr>
                <w:sz w:val="15"/>
              </w:rPr>
              <w:t>Audit privacy</w:t>
            </w:r>
          </w:p>
        </w:tc>
        <w:tc>
          <w:tcPr>
            <w:tcW w:type="dxa" w:w="8136"/>
            <w:vAlign w:val="center"/>
          </w:tcPr>
          <w:p>
            <w:pPr>
              <w:spacing w:after="40" w:line="240" w:lineRule="auto"/>
            </w:pPr>
            <w:r>
              <w:rPr>
                <w:sz w:val="15"/>
              </w:rPr>
              <w:t>Record enough to explain decisions while redacting tokens and minimizing duplicate sensitive content in logs.</w:t>
            </w:r>
          </w:p>
        </w:tc>
      </w:tr>
      <w:tr>
        <w:tc>
          <w:tcPr>
            <w:tcW w:type="dxa" w:w="2088"/>
            <w:vAlign w:val="center"/>
            <w:shd w:fill="F2F6FA"/>
          </w:tcPr>
          <w:p>
            <w:pPr>
              <w:spacing w:after="40" w:line="240" w:lineRule="auto"/>
            </w:pPr>
            <w:r>
              <w:rPr>
                <w:sz w:val="15"/>
              </w:rPr>
              <w:t>Retention and deletion</w:t>
            </w:r>
          </w:p>
        </w:tc>
        <w:tc>
          <w:tcPr>
            <w:tcW w:type="dxa" w:w="8136"/>
            <w:vAlign w:val="center"/>
            <w:shd w:fill="F2F6FA"/>
          </w:tcPr>
          <w:p>
            <w:pPr>
              <w:spacing w:after="40" w:line="240" w:lineRule="auto"/>
            </w:pPr>
            <w:r>
              <w:rPr>
                <w:sz w:val="15"/>
              </w:rPr>
              <w:t>Define message/media retention, person-memory deletion, backup expiry, and how deletion propagates to derived summaries before launch.</w:t>
            </w:r>
          </w:p>
        </w:tc>
      </w:tr>
      <w:tr>
        <w:tc>
          <w:tcPr>
            <w:tcW w:type="dxa" w:w="2088"/>
            <w:vAlign w:val="center"/>
          </w:tcPr>
          <w:p>
            <w:pPr>
              <w:spacing w:after="40" w:line="240" w:lineRule="auto"/>
            </w:pPr>
            <w:r>
              <w:rPr>
                <w:sz w:val="15"/>
              </w:rPr>
              <w:t>Human review</w:t>
            </w:r>
          </w:p>
        </w:tc>
        <w:tc>
          <w:tcPr>
            <w:tcW w:type="dxa" w:w="8136"/>
            <w:vAlign w:val="center"/>
          </w:tcPr>
          <w:p>
            <w:pPr>
              <w:spacing w:after="40" w:line="240" w:lineRule="auto"/>
            </w:pPr>
            <w:r>
              <w:rPr>
                <w:sz w:val="15"/>
              </w:rPr>
              <w:t>Make uncertain identity matches, sensitive topics, and model failures visible; never quietly convert guesses into confirmed facts.</w:t>
            </w:r>
          </w:p>
        </w:tc>
      </w:tr>
      <w:tr>
        <w:tc>
          <w:tcPr>
            <w:tcW w:type="dxa" w:w="2088"/>
            <w:vAlign w:val="center"/>
            <w:shd w:fill="F2F6FA"/>
          </w:tcPr>
          <w:p>
            <w:pPr>
              <w:spacing w:after="40" w:line="240" w:lineRule="auto"/>
            </w:pPr>
            <w:r>
              <w:rPr>
                <w:sz w:val="15"/>
              </w:rPr>
              <w:t>Threat surface</w:t>
            </w:r>
          </w:p>
        </w:tc>
        <w:tc>
          <w:tcPr>
            <w:tcW w:type="dxa" w:w="8136"/>
            <w:vAlign w:val="center"/>
            <w:shd w:fill="F2F6FA"/>
          </w:tcPr>
          <w:p>
            <w:pPr>
              <w:spacing w:after="40" w:line="240" w:lineRule="auto"/>
            </w:pPr>
            <w:r>
              <w:rPr>
                <w:sz w:val="15"/>
              </w:rPr>
              <w:t>Local-only listener by default; dependency updates, signed/reviewed releases where feasible, and no public webhook exposure without a validated secure tunnel design.</w:t>
            </w:r>
          </w:p>
        </w:tc>
      </w:tr>
    </w:tbl>
    <w:p>
      <w:pPr>
        <w:spacing w:after="20"/>
      </w:pPr>
    </w:p>
    <w:p>
      <w:pPr>
        <w:pStyle w:val="Heading2"/>
      </w:pPr>
      <w:r>
        <w:t>6.8 Reliability and observability</w:t>
      </w:r>
    </w:p>
    <w:p>
      <w:pPr>
        <w:pStyle w:val="ListBullet"/>
      </w:pPr>
      <w:r>
        <w:t>Use durable ingestion cursors and dedupe keys; keep raw provider IDs and receipt times for reconciliation.</w:t>
      </w:r>
    </w:p>
    <w:p>
      <w:pPr>
        <w:pStyle w:val="ListBullet"/>
      </w:pPr>
      <w:r>
        <w:t>Retry transient failures with bounded exponential backoff and jitter. Dead-letter repeated failures into a visible queue with replay controls.</w:t>
      </w:r>
    </w:p>
    <w:p>
      <w:pPr>
        <w:pStyle w:val="ListBullet"/>
      </w:pPr>
      <w:r>
        <w:t>Represent uncertain outbound results explicitly (“submission status unknown”) and reconcile before retrying to avoid duplicate sends.</w:t>
      </w:r>
    </w:p>
    <w:p>
      <w:pPr>
        <w:pStyle w:val="ListBullet"/>
      </w:pPr>
      <w:r>
        <w:t>Expose health states: connected, delayed, degraded, paused, and disconnected, with last-success timestamps and plain-language causes.</w:t>
      </w:r>
    </w:p>
    <w:p>
      <w:pPr>
        <w:pStyle w:val="ListBullet"/>
      </w:pPr>
      <w:r>
        <w:t>Use structured logs with correlation IDs across ingestion, analysis, approval, and execution. Do not log message bodies by default.</w:t>
      </w:r>
    </w:p>
    <w:p>
      <w:pPr>
        <w:pStyle w:val="ListBullet"/>
      </w:pPr>
      <w:r>
        <w:t>Track metrics: ingest lag, adapter errors, duplicate rate, queue age, model latency/error rate, candidate acceptance/correction, send outcomes, backup age, and disk use.</w:t>
      </w:r>
    </w:p>
    <w:p>
      <w:pPr>
        <w:pStyle w:val="ListBullet"/>
      </w:pPr>
      <w:r>
        <w:t>Version database migrations and keep an upgrade rollback/restore path. Make migrations idempotent and back up before schema changes.</w:t>
      </w:r>
    </w:p>
    <w:p>
      <w:pPr>
        <w:pStyle w:val="Heading1"/>
      </w:pPr>
      <w:r>
        <w:t>7. WhatsApp integration validation</w:t>
      </w:r>
    </w:p>
    <w:p>
      <w:r>
        <w:t>The first implementation decision is not which library to install; it is which integration method is acceptable and reliable for the specific WhatsApp account and operating model. Validate official product/API eligibility, supported message directions, webhook or polling availability, history access, attachment support, session lifetime, rate limits, terms, and failure behavior. These capabilities vary by product and account type and must not be assumed.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3024"/>
            <w:shd w:fill="24476B"/>
            <w:vAlign w:val="center"/>
          </w:tcPr>
          <w:p>
            <w:r>
              <w:rPr>
                <w:b/>
                <w:color w:val="FFFFFF"/>
                <w:sz w:val="15"/>
              </w:rPr>
              <w:t>Question to resolve</w:t>
            </w:r>
          </w:p>
        </w:tc>
        <w:tc>
          <w:tcPr>
            <w:tcW w:type="dxa" w:w="7200"/>
            <w:shd w:fill="24476B"/>
            <w:vAlign w:val="center"/>
          </w:tcPr>
          <w:p>
            <w:r>
              <w:rPr>
                <w:b/>
                <w:color w:val="FFFFFF"/>
                <w:sz w:val="15"/>
              </w:rPr>
              <w:t>Required proof before relying on it</w:t>
            </w:r>
          </w:p>
        </w:tc>
      </w:tr>
      <w:tr>
        <w:tc>
          <w:tcPr>
            <w:tcW w:type="dxa" w:w="3024"/>
            <w:vAlign w:val="center"/>
          </w:tcPr>
          <w:p>
            <w:pPr>
              <w:spacing w:after="40" w:line="240" w:lineRule="auto"/>
            </w:pPr>
            <w:r>
              <w:rPr>
                <w:sz w:val="15"/>
              </w:rPr>
              <w:t>Can this specific account connect through a supported route?</w:t>
            </w:r>
          </w:p>
        </w:tc>
        <w:tc>
          <w:tcPr>
            <w:tcW w:type="dxa" w:w="7200"/>
            <w:vAlign w:val="center"/>
          </w:tcPr>
          <w:p>
            <w:pPr>
              <w:spacing w:after="40" w:line="240" w:lineRule="auto"/>
            </w:pPr>
            <w:r>
              <w:rPr>
                <w:sz w:val="15"/>
              </w:rPr>
              <w:t>Documented account eligibility and an end-to-end sandbox or low-risk trial.</w:t>
            </w:r>
          </w:p>
        </w:tc>
      </w:tr>
      <w:tr>
        <w:tc>
          <w:tcPr>
            <w:tcW w:type="dxa" w:w="3024"/>
            <w:vAlign w:val="center"/>
            <w:shd w:fill="F2F6FA"/>
          </w:tcPr>
          <w:p>
            <w:pPr>
              <w:spacing w:after="40" w:line="240" w:lineRule="auto"/>
            </w:pPr>
            <w:r>
              <w:rPr>
                <w:sz w:val="15"/>
              </w:rPr>
              <w:t>What inbound coverage is available?</w:t>
            </w:r>
          </w:p>
        </w:tc>
        <w:tc>
          <w:tcPr>
            <w:tcW w:type="dxa" w:w="7200"/>
            <w:vAlign w:val="center"/>
            <w:shd w:fill="F2F6FA"/>
          </w:tcPr>
          <w:p>
            <w:pPr>
              <w:spacing w:after="40" w:line="240" w:lineRule="auto"/>
            </w:pPr>
            <w:r>
              <w:rPr>
                <w:sz w:val="15"/>
              </w:rPr>
              <w:t>Test new messages, group/direct conversations as relevant, edits/deletions if exposed, restart recovery, and missed-event reconciliation.</w:t>
            </w:r>
          </w:p>
        </w:tc>
      </w:tr>
      <w:tr>
        <w:tc>
          <w:tcPr>
            <w:tcW w:type="dxa" w:w="3024"/>
            <w:vAlign w:val="center"/>
          </w:tcPr>
          <w:p>
            <w:pPr>
              <w:spacing w:after="40" w:line="240" w:lineRule="auto"/>
            </w:pPr>
            <w:r>
              <w:rPr>
                <w:sz w:val="15"/>
              </w:rPr>
              <w:t>Can it send messages?</w:t>
            </w:r>
          </w:p>
        </w:tc>
        <w:tc>
          <w:tcPr>
            <w:tcW w:type="dxa" w:w="7200"/>
            <w:vAlign w:val="center"/>
          </w:tcPr>
          <w:p>
            <w:pPr>
              <w:spacing w:after="40" w:line="240" w:lineRule="auto"/>
            </w:pPr>
            <w:r>
              <w:rPr>
                <w:sz w:val="15"/>
              </w:rPr>
              <w:t>Verify supported recipient types, opt-in/initiated conversation rules if applicable, content limits, delivery status, and duplicate behavior.</w:t>
            </w:r>
          </w:p>
        </w:tc>
      </w:tr>
      <w:tr>
        <w:tc>
          <w:tcPr>
            <w:tcW w:type="dxa" w:w="3024"/>
            <w:vAlign w:val="center"/>
            <w:shd w:fill="F2F6FA"/>
          </w:tcPr>
          <w:p>
            <w:pPr>
              <w:spacing w:after="40" w:line="240" w:lineRule="auto"/>
            </w:pPr>
            <w:r>
              <w:rPr>
                <w:sz w:val="15"/>
              </w:rPr>
              <w:t>Can it access historical messages?</w:t>
            </w:r>
          </w:p>
        </w:tc>
        <w:tc>
          <w:tcPr>
            <w:tcW w:type="dxa" w:w="7200"/>
            <w:vAlign w:val="center"/>
            <w:shd w:fill="F2F6FA"/>
          </w:tcPr>
          <w:p>
            <w:pPr>
              <w:spacing w:after="40" w:line="240" w:lineRule="auto"/>
            </w:pPr>
            <w:r>
              <w:rPr>
                <w:sz w:val="15"/>
              </w:rPr>
              <w:t>Do not promise history import unless a documented and tested capability exists; define launch behavior if only new messages are available.</w:t>
            </w:r>
          </w:p>
        </w:tc>
      </w:tr>
      <w:tr>
        <w:tc>
          <w:tcPr>
            <w:tcW w:type="dxa" w:w="3024"/>
            <w:vAlign w:val="center"/>
          </w:tcPr>
          <w:p>
            <w:pPr>
              <w:spacing w:after="40" w:line="240" w:lineRule="auto"/>
            </w:pPr>
            <w:r>
              <w:rPr>
                <w:sz w:val="15"/>
              </w:rPr>
              <w:t>What is the account/platform risk?</w:t>
            </w:r>
          </w:p>
        </w:tc>
        <w:tc>
          <w:tcPr>
            <w:tcW w:type="dxa" w:w="7200"/>
            <w:vAlign w:val="center"/>
          </w:tcPr>
          <w:p>
            <w:pPr>
              <w:spacing w:after="40" w:line="240" w:lineRule="auto"/>
            </w:pPr>
            <w:r>
              <w:rPr>
                <w:sz w:val="15"/>
              </w:rPr>
              <w:t>Review terms and operational risk for the chosen method; decide whether a secondary number remains an isolated pilot account.</w:t>
            </w:r>
          </w:p>
        </w:tc>
      </w:tr>
      <w:tr>
        <w:tc>
          <w:tcPr>
            <w:tcW w:type="dxa" w:w="3024"/>
            <w:vAlign w:val="center"/>
            <w:shd w:fill="F2F6FA"/>
          </w:tcPr>
          <w:p>
            <w:pPr>
              <w:spacing w:after="40" w:line="240" w:lineRule="auto"/>
            </w:pPr>
            <w:r>
              <w:rPr>
                <w:sz w:val="15"/>
              </w:rPr>
              <w:t>What happens on disconnect?</w:t>
            </w:r>
          </w:p>
        </w:tc>
        <w:tc>
          <w:tcPr>
            <w:tcW w:type="dxa" w:w="7200"/>
            <w:vAlign w:val="center"/>
            <w:shd w:fill="F2F6FA"/>
          </w:tcPr>
          <w:p>
            <w:pPr>
              <w:spacing w:after="40" w:line="240" w:lineRule="auto"/>
            </w:pPr>
            <w:r>
              <w:rPr>
                <w:sz w:val="15"/>
              </w:rPr>
              <w:t>Measure detection, reauthentication, queued updates, and recovery without losing local records.</w:t>
            </w:r>
          </w:p>
        </w:tc>
      </w:tr>
    </w:tbl>
    <w:p>
      <w:pPr>
        <w:spacing w:after="20"/>
      </w:pPr>
    </w:p>
    <w:p>
      <w:r>
        <w:t>If a supported route cannot satisfy the needed message flow, an unofficial bridge may be evaluated only as an explicit prototype with a dedicated secondary number, clear pause/rollback steps, no assumption of production stability, and a decision gate before the user depends on it. The architecture contains the uncertainty within the adapter so the rest of the product remains reusable.</w:t>
      </w:r>
    </w:p>
    <w:p>
      <w:pPr>
        <w:pStyle w:val="Heading1"/>
      </w:pPr>
      <w:r>
        <w:t>8. Phased roadmap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944"/>
            <w:shd w:fill="24476B"/>
            <w:vAlign w:val="center"/>
          </w:tcPr>
          <w:p>
            <w:r>
              <w:rPr>
                <w:b/>
                <w:color w:val="FFFFFF"/>
                <w:sz w:val="15"/>
              </w:rPr>
              <w:t>Phase</w:t>
            </w:r>
          </w:p>
        </w:tc>
        <w:tc>
          <w:tcPr>
            <w:tcW w:type="dxa" w:w="4824"/>
            <w:shd w:fill="24476B"/>
            <w:vAlign w:val="center"/>
          </w:tcPr>
          <w:p>
            <w:r>
              <w:rPr>
                <w:b/>
                <w:color w:val="FFFFFF"/>
                <w:sz w:val="15"/>
              </w:rPr>
              <w:t>Deliverable</w:t>
            </w:r>
          </w:p>
        </w:tc>
        <w:tc>
          <w:tcPr>
            <w:tcW w:type="dxa" w:w="3456"/>
            <w:shd w:fill="24476B"/>
            <w:vAlign w:val="center"/>
          </w:tcPr>
          <w:p>
            <w:r>
              <w:rPr>
                <w:b/>
                <w:color w:val="FFFFFF"/>
                <w:sz w:val="15"/>
              </w:rPr>
              <w:t>Exit gate</w:t>
            </w:r>
          </w:p>
        </w:tc>
      </w:tr>
      <w:tr>
        <w:tc>
          <w:tcPr>
            <w:tcW w:type="dxa" w:w="1944"/>
            <w:vAlign w:val="center"/>
          </w:tcPr>
          <w:p>
            <w:pPr>
              <w:spacing w:after="40" w:line="240" w:lineRule="auto"/>
            </w:pPr>
            <w:r>
              <w:rPr>
                <w:sz w:val="15"/>
              </w:rPr>
              <w:t>0. Validate</w:t>
            </w:r>
          </w:p>
        </w:tc>
        <w:tc>
          <w:tcPr>
            <w:tcW w:type="dxa" w:w="4824"/>
            <w:vAlign w:val="center"/>
          </w:tcPr>
          <w:p>
            <w:pPr>
              <w:spacing w:after="40" w:line="240" w:lineRule="auto"/>
            </w:pPr>
            <w:r>
              <w:rPr>
                <w:sz w:val="15"/>
              </w:rPr>
              <w:t>Choose WhatsApp connection path; verify account eligibility, inbound/outbound capabilities, terms, and recovery. Confirm Mac mini runtime and privacy choices.</w:t>
            </w:r>
          </w:p>
        </w:tc>
        <w:tc>
          <w:tcPr>
            <w:tcW w:type="dxa" w:w="3456"/>
            <w:vAlign w:val="center"/>
          </w:tcPr>
          <w:p>
            <w:pPr>
              <w:spacing w:after="40" w:line="240" w:lineRule="auto"/>
            </w:pPr>
            <w:r>
              <w:rPr>
                <w:sz w:val="15"/>
              </w:rPr>
              <w:t>Written capability matrix and go/no-go for one-account pilot.</w:t>
            </w:r>
          </w:p>
        </w:tc>
      </w:tr>
      <w:tr>
        <w:tc>
          <w:tcPr>
            <w:tcW w:type="dxa" w:w="1944"/>
            <w:vAlign w:val="center"/>
            <w:shd w:fill="F2F6FA"/>
          </w:tcPr>
          <w:p>
            <w:pPr>
              <w:spacing w:after="40" w:line="240" w:lineRule="auto"/>
            </w:pPr>
            <w:r>
              <w:rPr>
                <w:sz w:val="15"/>
              </w:rPr>
              <w:t>1. Foundation</w:t>
            </w:r>
          </w:p>
        </w:tc>
        <w:tc>
          <w:tcPr>
            <w:tcW w:type="dxa" w:w="4824"/>
            <w:vAlign w:val="center"/>
            <w:shd w:fill="F2F6FA"/>
          </w:tcPr>
          <w:p>
            <w:pPr>
              <w:spacing w:after="40" w:line="240" w:lineRule="auto"/>
            </w:pPr>
            <w:r>
              <w:rPr>
                <w:sz w:val="15"/>
              </w:rPr>
              <w:t>Canonical schema, migrations, local capture, people/conversation records, audit, backup/restore, basic inbox.</w:t>
            </w:r>
          </w:p>
        </w:tc>
        <w:tc>
          <w:tcPr>
            <w:tcW w:type="dxa" w:w="3456"/>
            <w:vAlign w:val="center"/>
            <w:shd w:fill="F2F6FA"/>
          </w:tcPr>
          <w:p>
            <w:pPr>
              <w:spacing w:after="40" w:line="240" w:lineRule="auto"/>
            </w:pPr>
            <w:r>
              <w:rPr>
                <w:sz w:val="15"/>
              </w:rPr>
              <w:t>User notes and manually imported/test messages can be searched and linked to actions.</w:t>
            </w:r>
          </w:p>
        </w:tc>
      </w:tr>
      <w:tr>
        <w:tc>
          <w:tcPr>
            <w:tcW w:type="dxa" w:w="1944"/>
            <w:vAlign w:val="center"/>
          </w:tcPr>
          <w:p>
            <w:pPr>
              <w:spacing w:after="40" w:line="240" w:lineRule="auto"/>
            </w:pPr>
            <w:r>
              <w:rPr>
                <w:sz w:val="15"/>
              </w:rPr>
              <w:t>2. WhatsApp pilot</w:t>
            </w:r>
          </w:p>
        </w:tc>
        <w:tc>
          <w:tcPr>
            <w:tcW w:type="dxa" w:w="4824"/>
            <w:vAlign w:val="center"/>
          </w:tcPr>
          <w:p>
            <w:pPr>
              <w:spacing w:after="40" w:line="240" w:lineRule="auto"/>
            </w:pPr>
            <w:r>
              <w:rPr>
                <w:sz w:val="15"/>
              </w:rPr>
              <w:t>One account adapter; ingestion, dedupe, status, triage queue; no unattended actions.</w:t>
            </w:r>
          </w:p>
        </w:tc>
        <w:tc>
          <w:tcPr>
            <w:tcW w:type="dxa" w:w="3456"/>
            <w:vAlign w:val="center"/>
          </w:tcPr>
          <w:p>
            <w:pPr>
              <w:spacing w:after="40" w:line="240" w:lineRule="auto"/>
            </w:pPr>
            <w:r>
              <w:rPr>
                <w:sz w:val="15"/>
              </w:rPr>
              <w:t>Stable pilot with observable coverage and recoverable sync.</w:t>
            </w:r>
          </w:p>
        </w:tc>
      </w:tr>
      <w:tr>
        <w:tc>
          <w:tcPr>
            <w:tcW w:type="dxa" w:w="1944"/>
            <w:vAlign w:val="center"/>
            <w:shd w:fill="F2F6FA"/>
          </w:tcPr>
          <w:p>
            <w:pPr>
              <w:spacing w:after="40" w:line="240" w:lineRule="auto"/>
            </w:pPr>
            <w:r>
              <w:rPr>
                <w:sz w:val="15"/>
              </w:rPr>
              <w:t>3. Intelligence and follow-through</w:t>
            </w:r>
          </w:p>
        </w:tc>
        <w:tc>
          <w:tcPr>
            <w:tcW w:type="dxa" w:w="4824"/>
            <w:vAlign w:val="center"/>
            <w:shd w:fill="F2F6FA"/>
          </w:tcPr>
          <w:p>
            <w:pPr>
              <w:spacing w:after="40" w:line="240" w:lineRule="auto"/>
            </w:pPr>
            <w:r>
              <w:rPr>
                <w:sz w:val="15"/>
              </w:rPr>
              <w:t>Evidence-linked extraction, action lifecycle, relationship memory, summaries, draft replies, approval screen.</w:t>
            </w:r>
          </w:p>
        </w:tc>
        <w:tc>
          <w:tcPr>
            <w:tcW w:type="dxa" w:w="3456"/>
            <w:vAlign w:val="center"/>
            <w:shd w:fill="F2F6FA"/>
          </w:tcPr>
          <w:p>
            <w:pPr>
              <w:spacing w:after="40" w:line="240" w:lineRule="auto"/>
            </w:pPr>
            <w:r>
              <w:rPr>
                <w:sz w:val="15"/>
              </w:rPr>
              <w:t>Acceptance criteria met; zero unapproved external effects.</w:t>
            </w:r>
          </w:p>
        </w:tc>
      </w:tr>
      <w:tr>
        <w:tc>
          <w:tcPr>
            <w:tcW w:type="dxa" w:w="1944"/>
            <w:vAlign w:val="center"/>
          </w:tcPr>
          <w:p>
            <w:pPr>
              <w:spacing w:after="40" w:line="240" w:lineRule="auto"/>
            </w:pPr>
            <w:r>
              <w:rPr>
                <w:sz w:val="15"/>
              </w:rPr>
              <w:t>4. Controlled use</w:t>
            </w:r>
          </w:p>
        </w:tc>
        <w:tc>
          <w:tcPr>
            <w:tcW w:type="dxa" w:w="4824"/>
            <w:vAlign w:val="center"/>
          </w:tcPr>
          <w:p>
            <w:pPr>
              <w:spacing w:after="40" w:line="240" w:lineRule="auto"/>
            </w:pPr>
            <w:r>
              <w:rPr>
                <w:sz w:val="15"/>
              </w:rPr>
              <w:t>Refine ranking and correction loop; evaluate narrow A3 policy only for low-risk categories if desired.</w:t>
            </w:r>
          </w:p>
        </w:tc>
        <w:tc>
          <w:tcPr>
            <w:tcW w:type="dxa" w:w="3456"/>
            <w:vAlign w:val="center"/>
          </w:tcPr>
          <w:p>
            <w:pPr>
              <w:spacing w:after="40" w:line="240" w:lineRule="auto"/>
            </w:pPr>
            <w:r>
              <w:rPr>
                <w:sz w:val="15"/>
              </w:rPr>
              <w:t>Measured user trust and error rates; explicit policy review.</w:t>
            </w:r>
          </w:p>
        </w:tc>
      </w:tr>
      <w:tr>
        <w:tc>
          <w:tcPr>
            <w:tcW w:type="dxa" w:w="1944"/>
            <w:vAlign w:val="center"/>
            <w:shd w:fill="F2F6FA"/>
          </w:tcPr>
          <w:p>
            <w:pPr>
              <w:spacing w:after="40" w:line="240" w:lineRule="auto"/>
            </w:pPr>
            <w:r>
              <w:rPr>
                <w:sz w:val="15"/>
              </w:rPr>
              <w:t>5. Expand sources</w:t>
            </w:r>
          </w:p>
        </w:tc>
        <w:tc>
          <w:tcPr>
            <w:tcW w:type="dxa" w:w="4824"/>
            <w:vAlign w:val="center"/>
            <w:shd w:fill="F2F6FA"/>
          </w:tcPr>
          <w:p>
            <w:pPr>
              <w:spacing w:after="40" w:line="240" w:lineRule="auto"/>
            </w:pPr>
            <w:r>
              <w:rPr>
                <w:sz w:val="15"/>
              </w:rPr>
              <w:t>Add channels one by one through adapters, beginning with the highest-value validated source.</w:t>
            </w:r>
          </w:p>
        </w:tc>
        <w:tc>
          <w:tcPr>
            <w:tcW w:type="dxa" w:w="3456"/>
            <w:vAlign w:val="center"/>
            <w:shd w:fill="F2F6FA"/>
          </w:tcPr>
          <w:p>
            <w:pPr>
              <w:spacing w:after="40" w:line="240" w:lineRule="auto"/>
            </w:pPr>
            <w:r>
              <w:rPr>
                <w:sz w:val="15"/>
              </w:rPr>
              <w:t>Shared model and isolation pass; each adapter has clear capability/retention semantics.</w:t>
            </w:r>
          </w:p>
        </w:tc>
      </w:tr>
      <w:tr>
        <w:tc>
          <w:tcPr>
            <w:tcW w:type="dxa" w:w="1944"/>
            <w:vAlign w:val="center"/>
          </w:tcPr>
          <w:p>
            <w:pPr>
              <w:spacing w:after="40" w:line="240" w:lineRule="auto"/>
            </w:pPr>
            <w:r>
              <w:rPr>
                <w:sz w:val="15"/>
              </w:rPr>
              <w:t>6. Optional integrations</w:t>
            </w:r>
          </w:p>
        </w:tc>
        <w:tc>
          <w:tcPr>
            <w:tcW w:type="dxa" w:w="4824"/>
            <w:vAlign w:val="center"/>
          </w:tcPr>
          <w:p>
            <w:pPr>
              <w:spacing w:after="40" w:line="240" w:lineRule="auto"/>
            </w:pPr>
            <w:r>
              <w:rPr>
                <w:sz w:val="15"/>
              </w:rPr>
              <w:t>Explore agent handoff, voice capture, sync, or other capabilities only when the core system demonstrates value.</w:t>
            </w:r>
          </w:p>
        </w:tc>
        <w:tc>
          <w:tcPr>
            <w:tcW w:type="dxa" w:w="3456"/>
            <w:vAlign w:val="center"/>
          </w:tcPr>
          <w:p>
            <w:pPr>
              <w:spacing w:after="40" w:line="240" w:lineRule="auto"/>
            </w:pPr>
            <w:r>
              <w:rPr>
                <w:sz w:val="15"/>
              </w:rPr>
              <w:t>A specific user problem and data/security design justify each addition.</w:t>
            </w:r>
          </w:p>
        </w:tc>
      </w:tr>
    </w:tbl>
    <w:p>
      <w:pPr>
        <w:spacing w:after="20"/>
      </w:pPr>
    </w:p>
    <w:p>
      <w:pPr>
        <w:pStyle w:val="Heading1"/>
      </w:pPr>
      <w:r>
        <w:t>9. Risks and mitigations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3240"/>
            <w:shd w:fill="24476B"/>
            <w:vAlign w:val="center"/>
          </w:tcPr>
          <w:p>
            <w:r>
              <w:rPr>
                <w:b/>
                <w:color w:val="FFFFFF"/>
                <w:sz w:val="15"/>
              </w:rPr>
              <w:t>Risk</w:t>
            </w:r>
          </w:p>
        </w:tc>
        <w:tc>
          <w:tcPr>
            <w:tcW w:type="dxa" w:w="6984"/>
            <w:shd w:fill="24476B"/>
            <w:vAlign w:val="center"/>
          </w:tcPr>
          <w:p>
            <w:r>
              <w:rPr>
                <w:b/>
                <w:color w:val="FFFFFF"/>
                <w:sz w:val="15"/>
              </w:rPr>
              <w:t>Mitigation / decision</w:t>
            </w:r>
          </w:p>
        </w:tc>
      </w:tr>
      <w:tr>
        <w:tc>
          <w:tcPr>
            <w:tcW w:type="dxa" w:w="3240"/>
            <w:vAlign w:val="center"/>
          </w:tcPr>
          <w:p>
            <w:pPr>
              <w:spacing w:after="40" w:line="240" w:lineRule="auto"/>
            </w:pPr>
            <w:r>
              <w:rPr>
                <w:sz w:val="15"/>
              </w:rPr>
              <w:t>WhatsApp access is unavailable, limited, or unstable.</w:t>
            </w:r>
          </w:p>
        </w:tc>
        <w:tc>
          <w:tcPr>
            <w:tcW w:type="dxa" w:w="6984"/>
            <w:vAlign w:val="center"/>
          </w:tcPr>
          <w:p>
            <w:pPr>
              <w:spacing w:after="40" w:line="240" w:lineRule="auto"/>
            </w:pPr>
            <w:r>
              <w:rPr>
                <w:sz w:val="15"/>
              </w:rPr>
              <w:t>Validate first; isolate adapter; launch capture and local action tracking independently; do not promise unsupported history or send semantics.</w:t>
            </w:r>
          </w:p>
        </w:tc>
      </w:tr>
      <w:tr>
        <w:tc>
          <w:tcPr>
            <w:tcW w:type="dxa" w:w="3240"/>
            <w:vAlign w:val="center"/>
            <w:shd w:fill="F2F6FA"/>
          </w:tcPr>
          <w:p>
            <w:pPr>
              <w:spacing w:after="40" w:line="240" w:lineRule="auto"/>
            </w:pPr>
            <w:r>
              <w:rPr>
                <w:sz w:val="15"/>
              </w:rPr>
              <w:t>Missed messages create false confidence.</w:t>
            </w:r>
          </w:p>
        </w:tc>
        <w:tc>
          <w:tcPr>
            <w:tcW w:type="dxa" w:w="6984"/>
            <w:vAlign w:val="center"/>
            <w:shd w:fill="F2F6FA"/>
          </w:tcPr>
          <w:p>
            <w:pPr>
              <w:spacing w:after="40" w:line="240" w:lineRule="auto"/>
            </w:pPr>
            <w:r>
              <w:rPr>
                <w:sz w:val="15"/>
              </w:rPr>
              <w:t>Expose last sync and coverage; reconcile where possible; make adapter state visible; establish a measured baseline.</w:t>
            </w:r>
          </w:p>
        </w:tc>
      </w:tr>
      <w:tr>
        <w:tc>
          <w:tcPr>
            <w:tcW w:type="dxa" w:w="3240"/>
            <w:vAlign w:val="center"/>
          </w:tcPr>
          <w:p>
            <w:pPr>
              <w:spacing w:after="40" w:line="240" w:lineRule="auto"/>
            </w:pPr>
            <w:r>
              <w:rPr>
                <w:sz w:val="15"/>
              </w:rPr>
              <w:t>LLM extraction invents or misattributes commitments.</w:t>
            </w:r>
          </w:p>
        </w:tc>
        <w:tc>
          <w:tcPr>
            <w:tcW w:type="dxa" w:w="6984"/>
            <w:vAlign w:val="center"/>
          </w:tcPr>
          <w:p>
            <w:pPr>
              <w:spacing w:after="40" w:line="240" w:lineRule="auto"/>
            </w:pPr>
            <w:r>
              <w:rPr>
                <w:sz w:val="15"/>
              </w:rPr>
              <w:t>Require evidence references; keep candidates unconfirmed; user confirms; measure false positives and misses.</w:t>
            </w:r>
          </w:p>
        </w:tc>
      </w:tr>
      <w:tr>
        <w:tc>
          <w:tcPr>
            <w:tcW w:type="dxa" w:w="3240"/>
            <w:vAlign w:val="center"/>
            <w:shd w:fill="F2F6FA"/>
          </w:tcPr>
          <w:p>
            <w:pPr>
              <w:spacing w:after="40" w:line="240" w:lineRule="auto"/>
            </w:pPr>
            <w:r>
              <w:rPr>
                <w:sz w:val="15"/>
              </w:rPr>
              <w:t>Automation sends an unintended message.</w:t>
            </w:r>
          </w:p>
        </w:tc>
        <w:tc>
          <w:tcPr>
            <w:tcW w:type="dxa" w:w="6984"/>
            <w:vAlign w:val="center"/>
            <w:shd w:fill="F2F6FA"/>
          </w:tcPr>
          <w:p>
            <w:pPr>
              <w:spacing w:after="40" w:line="240" w:lineRule="auto"/>
            </w:pPr>
            <w:r>
              <w:rPr>
                <w:sz w:val="15"/>
              </w:rPr>
              <w:t>MVP approval-only; exact payload-bound approval; deterministic policy and audit; global pause.</w:t>
            </w:r>
          </w:p>
        </w:tc>
      </w:tr>
      <w:tr>
        <w:tc>
          <w:tcPr>
            <w:tcW w:type="dxa" w:w="3240"/>
            <w:vAlign w:val="center"/>
          </w:tcPr>
          <w:p>
            <w:pPr>
              <w:spacing w:after="40" w:line="240" w:lineRule="auto"/>
            </w:pPr>
            <w:r>
              <w:rPr>
                <w:sz w:val="15"/>
              </w:rPr>
              <w:t>Sensitive personal data leaks through model/log/backups.</w:t>
            </w:r>
          </w:p>
        </w:tc>
        <w:tc>
          <w:tcPr>
            <w:tcW w:type="dxa" w:w="6984"/>
            <w:vAlign w:val="center"/>
          </w:tcPr>
          <w:p>
            <w:pPr>
              <w:spacing w:after="40" w:line="240" w:lineRule="auto"/>
            </w:pPr>
            <w:r>
              <w:rPr>
                <w:sz w:val="15"/>
              </w:rPr>
              <w:t>Minimize context; choose provider intentionally; redact logs; encrypt backups; define retention and deletion.</w:t>
            </w:r>
          </w:p>
        </w:tc>
      </w:tr>
      <w:tr>
        <w:tc>
          <w:tcPr>
            <w:tcW w:type="dxa" w:w="3240"/>
            <w:vAlign w:val="center"/>
            <w:shd w:fill="F2F6FA"/>
          </w:tcPr>
          <w:p>
            <w:pPr>
              <w:spacing w:after="40" w:line="240" w:lineRule="auto"/>
            </w:pPr>
            <w:r>
              <w:rPr>
                <w:sz w:val="15"/>
              </w:rPr>
              <w:t>Single Mac mini failure loses data.</w:t>
            </w:r>
          </w:p>
        </w:tc>
        <w:tc>
          <w:tcPr>
            <w:tcW w:type="dxa" w:w="6984"/>
            <w:vAlign w:val="center"/>
            <w:shd w:fill="F2F6FA"/>
          </w:tcPr>
          <w:p>
            <w:pPr>
              <w:spacing w:after="40" w:line="240" w:lineRule="auto"/>
            </w:pPr>
            <w:r>
              <w:rPr>
                <w:sz w:val="15"/>
              </w:rPr>
              <w:t>Encrypted backup to separate destination; periodic restore rehearsal; clear recovery point objective.</w:t>
            </w:r>
          </w:p>
        </w:tc>
      </w:tr>
      <w:tr>
        <w:tc>
          <w:tcPr>
            <w:tcW w:type="dxa" w:w="3240"/>
            <w:vAlign w:val="center"/>
          </w:tcPr>
          <w:p>
            <w:pPr>
              <w:spacing w:after="40" w:line="240" w:lineRule="auto"/>
            </w:pPr>
            <w:r>
              <w:rPr>
                <w:sz w:val="15"/>
              </w:rPr>
              <w:t>Premature expansion slows value.</w:t>
            </w:r>
          </w:p>
        </w:tc>
        <w:tc>
          <w:tcPr>
            <w:tcW w:type="dxa" w:w="6984"/>
            <w:vAlign w:val="center"/>
          </w:tcPr>
          <w:p>
            <w:pPr>
              <w:spacing w:after="40" w:line="240" w:lineRule="auto"/>
            </w:pPr>
            <w:r>
              <w:rPr>
                <w:sz w:val="15"/>
              </w:rPr>
              <w:t>Keep one account and one channel in MVP; add only after measurable outcomes and adapter validation.</w:t>
            </w:r>
          </w:p>
        </w:tc>
      </w:tr>
      <w:tr>
        <w:tc>
          <w:tcPr>
            <w:tcW w:type="dxa" w:w="3240"/>
            <w:vAlign w:val="center"/>
            <w:shd w:fill="F2F6FA"/>
          </w:tcPr>
          <w:p>
            <w:pPr>
              <w:spacing w:after="40" w:line="240" w:lineRule="auto"/>
            </w:pPr>
            <w:r>
              <w:rPr>
                <w:sz w:val="15"/>
              </w:rPr>
              <w:t>Person identity collisions.</w:t>
            </w:r>
          </w:p>
        </w:tc>
        <w:tc>
          <w:tcPr>
            <w:tcW w:type="dxa" w:w="6984"/>
            <w:vAlign w:val="center"/>
            <w:shd w:fill="F2F6FA"/>
          </w:tcPr>
          <w:p>
            <w:pPr>
              <w:spacing w:after="40" w:line="240" w:lineRule="auto"/>
            </w:pPr>
            <w:r>
              <w:rPr>
                <w:sz w:val="15"/>
              </w:rPr>
              <w:t>Use conservative matching, visible merge suggestions, reversible merge history, and user confirmation.</w:t>
            </w:r>
          </w:p>
        </w:tc>
      </w:tr>
    </w:tbl>
    <w:p>
      <w:pPr>
        <w:spacing w:after="20"/>
      </w:pPr>
    </w:p>
    <w:p>
      <w:pPr>
        <w:pStyle w:val="Heading1"/>
      </w:pPr>
      <w:r>
        <w:t>10. Decisions and open questions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872"/>
            <w:shd w:fill="24476B"/>
            <w:vAlign w:val="center"/>
          </w:tcPr>
          <w:p>
            <w:r>
              <w:rPr>
                <w:b/>
                <w:color w:val="FFFFFF"/>
                <w:sz w:val="15"/>
              </w:rPr>
              <w:t>Decision</w:t>
            </w:r>
          </w:p>
        </w:tc>
        <w:tc>
          <w:tcPr>
            <w:tcW w:type="dxa" w:w="4320"/>
            <w:shd w:fill="24476B"/>
            <w:vAlign w:val="center"/>
          </w:tcPr>
          <w:p>
            <w:r>
              <w:rPr>
                <w:b/>
                <w:color w:val="FFFFFF"/>
                <w:sz w:val="15"/>
              </w:rPr>
              <w:t>Current recommendation</w:t>
            </w:r>
          </w:p>
        </w:tc>
        <w:tc>
          <w:tcPr>
            <w:tcW w:type="dxa" w:w="4032"/>
            <w:shd w:fill="24476B"/>
            <w:vAlign w:val="center"/>
          </w:tcPr>
          <w:p>
            <w:r>
              <w:rPr>
                <w:b/>
                <w:color w:val="FFFFFF"/>
                <w:sz w:val="15"/>
              </w:rPr>
              <w:t>Open validation</w:t>
            </w:r>
          </w:p>
        </w:tc>
      </w:tr>
      <w:tr>
        <w:tc>
          <w:tcPr>
            <w:tcW w:type="dxa" w:w="1872"/>
            <w:vAlign w:val="center"/>
          </w:tcPr>
          <w:p>
            <w:pPr>
              <w:spacing w:after="40" w:line="240" w:lineRule="auto"/>
            </w:pPr>
            <w:r>
              <w:rPr>
                <w:sz w:val="15"/>
              </w:rPr>
              <w:t>Product shape</w:t>
            </w:r>
          </w:p>
        </w:tc>
        <w:tc>
          <w:tcPr>
            <w:tcW w:type="dxa" w:w="4320"/>
            <w:vAlign w:val="center"/>
          </w:tcPr>
          <w:p>
            <w:pPr>
              <w:spacing w:after="40" w:line="240" w:lineRule="auto"/>
            </w:pPr>
            <w:r>
              <w:rPr>
                <w:sz w:val="15"/>
              </w:rPr>
              <w:t>Universal personal inbox with communication capabilities.</w:t>
            </w:r>
          </w:p>
        </w:tc>
        <w:tc>
          <w:tcPr>
            <w:tcW w:type="dxa" w:w="4032"/>
            <w:vAlign w:val="center"/>
          </w:tcPr>
          <w:p>
            <w:pPr>
              <w:spacing w:after="40" w:line="240" w:lineRule="auto"/>
            </w:pPr>
            <w:r>
              <w:rPr>
                <w:sz w:val="15"/>
              </w:rPr>
              <w:t>None for MVP boundary.</w:t>
            </w:r>
          </w:p>
        </w:tc>
      </w:tr>
      <w:tr>
        <w:tc>
          <w:tcPr>
            <w:tcW w:type="dxa" w:w="1872"/>
            <w:vAlign w:val="center"/>
            <w:shd w:fill="F2F6FA"/>
          </w:tcPr>
          <w:p>
            <w:pPr>
              <w:spacing w:after="40" w:line="240" w:lineRule="auto"/>
            </w:pPr>
            <w:r>
              <w:rPr>
                <w:sz w:val="15"/>
              </w:rPr>
              <w:t>Initial source</w:t>
            </w:r>
          </w:p>
        </w:tc>
        <w:tc>
          <w:tcPr>
            <w:tcW w:type="dxa" w:w="4320"/>
            <w:vAlign w:val="center"/>
            <w:shd w:fill="F2F6FA"/>
          </w:tcPr>
          <w:p>
            <w:pPr>
              <w:spacing w:after="40" w:line="240" w:lineRule="auto"/>
            </w:pPr>
            <w:r>
              <w:rPr>
                <w:sz w:val="15"/>
              </w:rPr>
              <w:t>WhatsApp first; one operational account.</w:t>
            </w:r>
          </w:p>
        </w:tc>
        <w:tc>
          <w:tcPr>
            <w:tcW w:type="dxa" w:w="4032"/>
            <w:vAlign w:val="center"/>
            <w:shd w:fill="F2F6FA"/>
          </w:tcPr>
          <w:p>
            <w:pPr>
              <w:spacing w:after="40" w:line="240" w:lineRule="auto"/>
            </w:pPr>
            <w:r>
              <w:rPr>
                <w:sz w:val="15"/>
              </w:rPr>
              <w:t>Which account/API route is eligible and acceptable?</w:t>
            </w:r>
          </w:p>
        </w:tc>
      </w:tr>
      <w:tr>
        <w:tc>
          <w:tcPr>
            <w:tcW w:type="dxa" w:w="1872"/>
            <w:vAlign w:val="center"/>
          </w:tcPr>
          <w:p>
            <w:pPr>
              <w:spacing w:after="40" w:line="240" w:lineRule="auto"/>
            </w:pPr>
            <w:r>
              <w:rPr>
                <w:sz w:val="15"/>
              </w:rPr>
              <w:t>Manual capture</w:t>
            </w:r>
          </w:p>
        </w:tc>
        <w:tc>
          <w:tcPr>
            <w:tcW w:type="dxa" w:w="4320"/>
            <w:vAlign w:val="center"/>
          </w:tcPr>
          <w:p>
            <w:pPr>
              <w:spacing w:after="40" w:line="240" w:lineRule="auto"/>
            </w:pPr>
            <w:r>
              <w:rPr>
                <w:sz w:val="15"/>
              </w:rPr>
              <w:t>Direct text capture included from day one.</w:t>
            </w:r>
          </w:p>
        </w:tc>
        <w:tc>
          <w:tcPr>
            <w:tcW w:type="dxa" w:w="4032"/>
            <w:vAlign w:val="center"/>
          </w:tcPr>
          <w:p>
            <w:pPr>
              <w:spacing w:after="40" w:line="240" w:lineRule="auto"/>
            </w:pPr>
            <w:r>
              <w:rPr>
                <w:sz w:val="15"/>
              </w:rPr>
              <w:t>Choose fastest capture surface and shortcut/input ergonomics.</w:t>
            </w:r>
          </w:p>
        </w:tc>
      </w:tr>
      <w:tr>
        <w:tc>
          <w:tcPr>
            <w:tcW w:type="dxa" w:w="1872"/>
            <w:vAlign w:val="center"/>
            <w:shd w:fill="F2F6FA"/>
          </w:tcPr>
          <w:p>
            <w:pPr>
              <w:spacing w:after="40" w:line="240" w:lineRule="auto"/>
            </w:pPr>
            <w:r>
              <w:rPr>
                <w:sz w:val="15"/>
              </w:rPr>
              <w:t>Autonomy</w:t>
            </w:r>
          </w:p>
        </w:tc>
        <w:tc>
          <w:tcPr>
            <w:tcW w:type="dxa" w:w="4320"/>
            <w:vAlign w:val="center"/>
            <w:shd w:fill="F2F6FA"/>
          </w:tcPr>
          <w:p>
            <w:pPr>
              <w:spacing w:after="40" w:line="240" w:lineRule="auto"/>
            </w:pPr>
            <w:r>
              <w:rPr>
                <w:sz w:val="15"/>
              </w:rPr>
              <w:t>Approval required for all external effects initially.</w:t>
            </w:r>
          </w:p>
        </w:tc>
        <w:tc>
          <w:tcPr>
            <w:tcW w:type="dxa" w:w="4032"/>
            <w:vAlign w:val="center"/>
            <w:shd w:fill="F2F6FA"/>
          </w:tcPr>
          <w:p>
            <w:pPr>
              <w:spacing w:after="40" w:line="240" w:lineRule="auto"/>
            </w:pPr>
            <w:r>
              <w:rPr>
                <w:sz w:val="15"/>
              </w:rPr>
              <w:t>Which future low-risk categories, if any, merit delegated policy?</w:t>
            </w:r>
          </w:p>
        </w:tc>
      </w:tr>
      <w:tr>
        <w:tc>
          <w:tcPr>
            <w:tcW w:type="dxa" w:w="1872"/>
            <w:vAlign w:val="center"/>
          </w:tcPr>
          <w:p>
            <w:pPr>
              <w:spacing w:after="40" w:line="240" w:lineRule="auto"/>
            </w:pPr>
            <w:r>
              <w:rPr>
                <w:sz w:val="15"/>
              </w:rPr>
              <w:t>Relationship context</w:t>
            </w:r>
          </w:p>
        </w:tc>
        <w:tc>
          <w:tcPr>
            <w:tcW w:type="dxa" w:w="4320"/>
            <w:vAlign w:val="center"/>
          </w:tcPr>
          <w:p>
            <w:pPr>
              <w:spacing w:after="40" w:line="240" w:lineRule="auto"/>
            </w:pPr>
            <w:r>
              <w:rPr>
                <w:sz w:val="15"/>
              </w:rPr>
              <w:t>Long-term, evidence-based memory.</w:t>
            </w:r>
          </w:p>
        </w:tc>
        <w:tc>
          <w:tcPr>
            <w:tcW w:type="dxa" w:w="4032"/>
            <w:vAlign w:val="center"/>
          </w:tcPr>
          <w:p>
            <w:pPr>
              <w:spacing w:after="40" w:line="240" w:lineRule="auto"/>
            </w:pPr>
            <w:r>
              <w:rPr>
                <w:sz w:val="15"/>
              </w:rPr>
              <w:t>Retention, correction, and deletion expectations.</w:t>
            </w:r>
          </w:p>
        </w:tc>
      </w:tr>
      <w:tr>
        <w:tc>
          <w:tcPr>
            <w:tcW w:type="dxa" w:w="1872"/>
            <w:vAlign w:val="center"/>
            <w:shd w:fill="F2F6FA"/>
          </w:tcPr>
          <w:p>
            <w:pPr>
              <w:spacing w:after="40" w:line="240" w:lineRule="auto"/>
            </w:pPr>
            <w:r>
              <w:rPr>
                <w:sz w:val="15"/>
              </w:rPr>
              <w:t>Architecture</w:t>
            </w:r>
          </w:p>
        </w:tc>
        <w:tc>
          <w:tcPr>
            <w:tcW w:type="dxa" w:w="4320"/>
            <w:vAlign w:val="center"/>
            <w:shd w:fill="F2F6FA"/>
          </w:tcPr>
          <w:p>
            <w:pPr>
              <w:spacing w:after="40" w:line="240" w:lineRule="auto"/>
            </w:pPr>
            <w:r>
              <w:rPr>
                <w:sz w:val="15"/>
              </w:rPr>
              <w:t>Modular monolith, SQLite, adapter boundary, deterministic policy/execution.</w:t>
            </w:r>
          </w:p>
        </w:tc>
        <w:tc>
          <w:tcPr>
            <w:tcW w:type="dxa" w:w="4032"/>
            <w:vAlign w:val="center"/>
            <w:shd w:fill="F2F6FA"/>
          </w:tcPr>
          <w:p>
            <w:pPr>
              <w:spacing w:after="40" w:line="240" w:lineRule="auto"/>
            </w:pPr>
            <w:r>
              <w:rPr>
                <w:sz w:val="15"/>
              </w:rPr>
              <w:t>Confirm existing project language/runtime before implementation.</w:t>
            </w:r>
          </w:p>
        </w:tc>
      </w:tr>
      <w:tr>
        <w:tc>
          <w:tcPr>
            <w:tcW w:type="dxa" w:w="1872"/>
            <w:vAlign w:val="center"/>
          </w:tcPr>
          <w:p>
            <w:pPr>
              <w:spacing w:after="40" w:line="240" w:lineRule="auto"/>
            </w:pPr>
            <w:r>
              <w:rPr>
                <w:sz w:val="15"/>
              </w:rPr>
              <w:t>Instinct</w:t>
            </w:r>
          </w:p>
        </w:tc>
        <w:tc>
          <w:tcPr>
            <w:tcW w:type="dxa" w:w="4320"/>
            <w:vAlign w:val="center"/>
          </w:tcPr>
          <w:p>
            <w:pPr>
              <w:spacing w:after="40" w:line="240" w:lineRule="auto"/>
            </w:pPr>
            <w:r>
              <w:rPr>
                <w:sz w:val="15"/>
              </w:rPr>
              <w:t>Not required for core.</w:t>
            </w:r>
          </w:p>
        </w:tc>
        <w:tc>
          <w:tcPr>
            <w:tcW w:type="dxa" w:w="4032"/>
            <w:vAlign w:val="center"/>
          </w:tcPr>
          <w:p>
            <w:pPr>
              <w:spacing w:after="40" w:line="240" w:lineRule="auto"/>
            </w:pPr>
            <w:r>
              <w:rPr>
                <w:sz w:val="15"/>
              </w:rPr>
              <w:t>Consider only if a concrete future handoff creates value.</w:t>
            </w:r>
          </w:p>
        </w:tc>
      </w:tr>
      <w:tr>
        <w:tc>
          <w:tcPr>
            <w:tcW w:type="dxa" w:w="1872"/>
            <w:vAlign w:val="center"/>
            <w:shd w:fill="F2F6FA"/>
          </w:tcPr>
          <w:p>
            <w:pPr>
              <w:spacing w:after="40" w:line="240" w:lineRule="auto"/>
            </w:pPr>
            <w:r>
              <w:rPr>
                <w:sz w:val="15"/>
              </w:rPr>
              <w:t>Voice and calls</w:t>
            </w:r>
          </w:p>
        </w:tc>
        <w:tc>
          <w:tcPr>
            <w:tcW w:type="dxa" w:w="4320"/>
            <w:vAlign w:val="center"/>
            <w:shd w:fill="F2F6FA"/>
          </w:tcPr>
          <w:p>
            <w:pPr>
              <w:spacing w:after="40" w:line="240" w:lineRule="auto"/>
            </w:pPr>
            <w:r>
              <w:rPr>
                <w:sz w:val="15"/>
              </w:rPr>
              <w:t>Deferred.</w:t>
            </w:r>
          </w:p>
        </w:tc>
        <w:tc>
          <w:tcPr>
            <w:tcW w:type="dxa" w:w="4032"/>
            <w:vAlign w:val="center"/>
            <w:shd w:fill="F2F6FA"/>
          </w:tcPr>
          <w:p>
            <w:pPr>
              <w:spacing w:after="40" w:line="240" w:lineRule="auto"/>
            </w:pPr>
            <w:r>
              <w:rPr>
                <w:sz w:val="15"/>
              </w:rPr>
              <w:t>Only revisit with a specific use case and consent/privacy review.</w:t>
            </w:r>
          </w:p>
        </w:tc>
      </w:tr>
    </w:tbl>
    <w:p>
      <w:pPr>
        <w:spacing w:after="20"/>
      </w:pPr>
    </w:p>
    <w:p>
      <w:pPr>
        <w:pStyle w:val="Heading1"/>
      </w:pPr>
      <w:r>
        <w:t>Appendix A. Suggested MVP policy defaults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880"/>
            <w:shd w:fill="24476B"/>
            <w:vAlign w:val="center"/>
          </w:tcPr>
          <w:p>
            <w:r>
              <w:rPr>
                <w:b/>
                <w:color w:val="FFFFFF"/>
                <w:sz w:val="16"/>
              </w:rPr>
              <w:t>Policy setting</w:t>
            </w:r>
          </w:p>
        </w:tc>
        <w:tc>
          <w:tcPr>
            <w:tcW w:type="dxa" w:w="7344"/>
            <w:shd w:fill="24476B"/>
            <w:vAlign w:val="center"/>
          </w:tcPr>
          <w:p>
            <w:r>
              <w:rPr>
                <w:b/>
                <w:color w:val="FFFFFF"/>
                <w:sz w:val="16"/>
              </w:rPr>
              <w:t>Default</w:t>
            </w:r>
          </w:p>
        </w:tc>
      </w:tr>
      <w:tr>
        <w:tc>
          <w:tcPr>
            <w:tcW w:type="dxa" w:w="2880"/>
            <w:vAlign w:val="center"/>
          </w:tcPr>
          <w:p>
            <w:pPr>
              <w:spacing w:after="40" w:line="240" w:lineRule="auto"/>
            </w:pPr>
            <w:r>
              <w:rPr>
                <w:sz w:val="16"/>
              </w:rPr>
              <w:t>Inbound analysis</w:t>
            </w:r>
          </w:p>
        </w:tc>
        <w:tc>
          <w:tcPr>
            <w:tcW w:type="dxa" w:w="7344"/>
            <w:vAlign w:val="center"/>
          </w:tcPr>
          <w:p>
            <w:pPr>
              <w:spacing w:after="40" w:line="240" w:lineRule="auto"/>
            </w:pPr>
            <w:r>
              <w:rPr>
                <w:sz w:val="16"/>
              </w:rPr>
              <w:t>Allowed for configured account; only necessary context is sent to selected model provider.</w:t>
            </w:r>
          </w:p>
        </w:tc>
      </w:tr>
      <w:tr>
        <w:tc>
          <w:tcPr>
            <w:tcW w:type="dxa" w:w="2880"/>
            <w:vAlign w:val="center"/>
            <w:shd w:fill="F2F6FA"/>
          </w:tcPr>
          <w:p>
            <w:pPr>
              <w:spacing w:after="40" w:line="240" w:lineRule="auto"/>
            </w:pPr>
            <w:r>
              <w:rPr>
                <w:sz w:val="16"/>
              </w:rPr>
              <w:t>External send</w:t>
            </w:r>
          </w:p>
        </w:tc>
        <w:tc>
          <w:tcPr>
            <w:tcW w:type="dxa" w:w="7344"/>
            <w:vAlign w:val="center"/>
            <w:shd w:fill="F2F6FA"/>
          </w:tcPr>
          <w:p>
            <w:pPr>
              <w:spacing w:after="40" w:line="240" w:lineRule="auto"/>
            </w:pPr>
            <w:r>
              <w:rPr>
                <w:sz w:val="16"/>
              </w:rPr>
              <w:t>Approval required every time; exact content and recipient displayed.</w:t>
            </w:r>
          </w:p>
        </w:tc>
      </w:tr>
      <w:tr>
        <w:tc>
          <w:tcPr>
            <w:tcW w:type="dxa" w:w="2880"/>
            <w:vAlign w:val="center"/>
          </w:tcPr>
          <w:p>
            <w:pPr>
              <w:spacing w:after="40" w:line="240" w:lineRule="auto"/>
            </w:pPr>
            <w:r>
              <w:rPr>
                <w:sz w:val="16"/>
              </w:rPr>
              <w:t>Recipient ambiguity</w:t>
            </w:r>
          </w:p>
        </w:tc>
        <w:tc>
          <w:tcPr>
            <w:tcW w:type="dxa" w:w="7344"/>
            <w:vAlign w:val="center"/>
          </w:tcPr>
          <w:p>
            <w:pPr>
              <w:spacing w:after="40" w:line="240" w:lineRule="auto"/>
            </w:pPr>
            <w:r>
              <w:rPr>
                <w:sz w:val="16"/>
              </w:rPr>
              <w:t>Block execution and ask user to resolve identity.</w:t>
            </w:r>
          </w:p>
        </w:tc>
      </w:tr>
      <w:tr>
        <w:tc>
          <w:tcPr>
            <w:tcW w:type="dxa" w:w="2880"/>
            <w:vAlign w:val="center"/>
            <w:shd w:fill="F2F6FA"/>
          </w:tcPr>
          <w:p>
            <w:pPr>
              <w:spacing w:after="40" w:line="240" w:lineRule="auto"/>
            </w:pPr>
            <w:r>
              <w:rPr>
                <w:sz w:val="16"/>
              </w:rPr>
              <w:t>Sensitive categories</w:t>
            </w:r>
          </w:p>
        </w:tc>
        <w:tc>
          <w:tcPr>
            <w:tcW w:type="dxa" w:w="7344"/>
            <w:vAlign w:val="center"/>
            <w:shd w:fill="F2F6FA"/>
          </w:tcPr>
          <w:p>
            <w:pPr>
              <w:spacing w:after="40" w:line="240" w:lineRule="auto"/>
            </w:pPr>
            <w:r>
              <w:rPr>
                <w:sz w:val="16"/>
              </w:rPr>
              <w:t>Escalate to user; do not auto-draft or send unless the user explicitly requests a draft.</w:t>
            </w:r>
          </w:p>
        </w:tc>
      </w:tr>
      <w:tr>
        <w:tc>
          <w:tcPr>
            <w:tcW w:type="dxa" w:w="2880"/>
            <w:vAlign w:val="center"/>
          </w:tcPr>
          <w:p>
            <w:pPr>
              <w:spacing w:after="40" w:line="240" w:lineRule="auto"/>
            </w:pPr>
            <w:r>
              <w:rPr>
                <w:sz w:val="16"/>
              </w:rPr>
              <w:t>Memory updates</w:t>
            </w:r>
          </w:p>
        </w:tc>
        <w:tc>
          <w:tcPr>
            <w:tcW w:type="dxa" w:w="7344"/>
            <w:vAlign w:val="center"/>
          </w:tcPr>
          <w:p>
            <w:pPr>
              <w:spacing w:after="40" w:line="240" w:lineRule="auto"/>
            </w:pPr>
            <w:r>
              <w:rPr>
                <w:sz w:val="16"/>
              </w:rPr>
              <w:t>Inferences stay candidate; user confirmation required for durable relationship facts.</w:t>
            </w:r>
          </w:p>
        </w:tc>
      </w:tr>
      <w:tr>
        <w:tc>
          <w:tcPr>
            <w:tcW w:type="dxa" w:w="2880"/>
            <w:vAlign w:val="center"/>
            <w:shd w:fill="F2F6FA"/>
          </w:tcPr>
          <w:p>
            <w:pPr>
              <w:spacing w:after="40" w:line="240" w:lineRule="auto"/>
            </w:pPr>
            <w:r>
              <w:rPr>
                <w:sz w:val="16"/>
              </w:rPr>
              <w:t>Retries</w:t>
            </w:r>
          </w:p>
        </w:tc>
        <w:tc>
          <w:tcPr>
            <w:tcW w:type="dxa" w:w="7344"/>
            <w:vAlign w:val="center"/>
            <w:shd w:fill="F2F6FA"/>
          </w:tcPr>
          <w:p>
            <w:pPr>
              <w:spacing w:after="40" w:line="240" w:lineRule="auto"/>
            </w:pPr>
            <w:r>
              <w:rPr>
                <w:sz w:val="16"/>
              </w:rPr>
              <w:t>Automatic only for safe reads/analysis; outbound retries require idempotency or reconciliation.</w:t>
            </w:r>
          </w:p>
        </w:tc>
      </w:tr>
      <w:tr>
        <w:tc>
          <w:tcPr>
            <w:tcW w:type="dxa" w:w="2880"/>
            <w:vAlign w:val="center"/>
          </w:tcPr>
          <w:p>
            <w:pPr>
              <w:spacing w:after="40" w:line="240" w:lineRule="auto"/>
            </w:pPr>
            <w:r>
              <w:rPr>
                <w:sz w:val="16"/>
              </w:rPr>
              <w:t>Global pause</w:t>
            </w:r>
          </w:p>
        </w:tc>
        <w:tc>
          <w:tcPr>
            <w:tcW w:type="dxa" w:w="7344"/>
            <w:vAlign w:val="center"/>
          </w:tcPr>
          <w:p>
            <w:pPr>
              <w:spacing w:after="40" w:line="240" w:lineRule="auto"/>
            </w:pPr>
            <w:r>
              <w:rPr>
                <w:sz w:val="16"/>
              </w:rPr>
              <w:t>Immediately stop ingestion processing and all outbound actions; preserve already stored records.</w:t>
            </w:r>
          </w:p>
        </w:tc>
      </w:tr>
    </w:tbl>
    <w:p>
      <w:pPr>
        <w:spacing w:after="20"/>
      </w:pP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973"/>
        <w:sz w:val="16"/>
      </w:rPr>
      <w:t>Universal Personal Inbox and Action Assistant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w:hAnsi="Apto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ptos" w:hAnsi="Aptos"/>
      <w:i/>
      <w:iCs/>
      <w:color w:val="46505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Personal Inbox and Action Assistant</dc:title>
  <dc:subject>Product requirements and technical architecture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