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/>
      </w:pPr>
    </w:p>
    <w:p>
      <w:pPr>
        <w:jc w:val="center"/>
      </w:pPr>
      <w:r>
        <w:rPr>
          <w:rFonts w:ascii="Arial" w:hAnsi="Arial"/>
          <w:b/>
          <w:color w:val="1B2A47"/>
          <w:sz w:val="48"/>
        </w:rPr>
        <w:t>SECURITY ASSESSMENT REPORT</w:t>
      </w:r>
    </w:p>
    <w:p>
      <w:pPr>
        <w:pBdr>
          <w:bottom w:val="single" w:sz="6" w:space="1" w:color="2E75B6"/>
        </w:pBdr>
        <w:spacing w:before="0" w:after="160"/>
      </w:pPr>
    </w:p>
    <w:p>
      <w:pPr>
        <w:spacing w:before="0" w:after="280"/>
      </w:pPr>
    </w:p>
    <w:p>
      <w:pPr>
        <w:jc w:val="center"/>
      </w:pPr>
      <w:r>
        <w:rPr>
          <w:rFonts w:ascii="Arial" w:hAnsi="Arial"/>
          <w:b/>
          <w:sz w:val="36"/>
        </w:rPr>
        <w:t>FINAL_TEST</w:t>
      </w:r>
    </w:p>
    <w:p>
      <w:pPr>
        <w:spacing w:before="0" w:after="120"/>
      </w:pPr>
    </w:p>
    <w:p>
      <w:pPr>
        <w:jc w:val="center"/>
      </w:pPr>
      <w:r>
        <w:rPr>
          <w:rFonts w:ascii="Arial" w:hAnsi="Arial"/>
          <w:color w:val="4A4A4A"/>
          <w:sz w:val="22"/>
        </w:rPr>
        <w:t>Assessment Date: 2026-05-22  07:10 UTC</w:t>
      </w:r>
    </w:p>
    <w:p>
      <w:pPr>
        <w:spacing w:before="0" w:after="400"/>
      </w:pPr>
    </w:p>
    <w:p>
      <w:pPr>
        <w:pBdr>
          <w:bottom w:val="single" w:sz="6" w:space="1" w:color="2E75B6"/>
        </w:pBdr>
        <w:spacing w:before="0" w:after="160"/>
      </w:pPr>
    </w:p>
    <w:p>
      <w:pPr>
        <w:spacing w:before="0"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</w:tcPr>
          <w:p/>
        </w:tc>
        <w:tc>
          <w:tcPr>
            <w:tcW w:type="dxa" w:w="3600"/>
            <w:shd w:fill="787878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Risk Posture: POSITIVE</w:t>
            </w:r>
          </w:p>
        </w:tc>
        <w:tc>
          <w:tcPr>
            <w:tcW w:type="dxa" w:w="3600"/>
          </w:tcPr>
          <w:p/>
        </w:tc>
      </w:tr>
    </w:tbl>
    <w:p>
      <w:pPr>
        <w:spacing w:before="0" w:after="4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3168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Session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FINAL_TEST_20260522_0710</w:t>
            </w:r>
          </w:p>
        </w:tc>
      </w:tr>
      <w:tr>
        <w:tc>
          <w:tcPr>
            <w:tcW w:type="dxa" w:w="3168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Assessment Type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External Non-Intrusive Security Assessment</w:t>
            </w:r>
          </w:p>
        </w:tc>
      </w:tr>
      <w:tr>
        <w:tc>
          <w:tcPr>
            <w:tcW w:type="dxa" w:w="3168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Exposure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Public</w:t>
            </w:r>
          </w:p>
        </w:tc>
      </w:tr>
      <w:tr>
        <w:tc>
          <w:tcPr>
            <w:tcW w:type="dxa" w:w="3168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Environment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Production</w:t>
            </w:r>
          </w:p>
        </w:tc>
      </w:tr>
      <w:tr>
        <w:tc>
          <w:tcPr>
            <w:tcW w:type="dxa" w:w="3168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Sector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Education</w:t>
            </w:r>
          </w:p>
        </w:tc>
      </w:tr>
    </w:tbl>
    <w:p>
      <w:pPr>
        <w:spacing w:before="0" w:after="720"/>
      </w:pPr>
    </w:p>
    <w:p>
      <w:pPr>
        <w:jc w:val="center"/>
      </w:pPr>
      <w:r>
        <w:rPr>
          <w:rFonts w:ascii="Arial" w:hAnsi="Arial"/>
          <w:i/>
          <w:color w:val="888888"/>
          <w:sz w:val="18"/>
        </w:rPr>
        <w:t>CONFIDENTIAL  —  This report is intended solely for the named recipient. Unauthorized distribution is strictly prohibited.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Bdr>
          <w:bottom w:val="single" w:sz="6" w:space="1" w:color="2E75B6"/>
        </w:pBdr>
        <w:spacing w:before="0" w:after="160"/>
      </w:pP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This security assessment was conducted against 2 target(s) using NMAP. A total of 0 security finding(s) were identified during the assessment period. The findings are detailed in the Technical Findings section of this report.</w:t>
      </w:r>
    </w:p>
    <w:p>
      <w:pPr>
        <w:spacing w:before="0" w:after="120"/>
      </w:pPr>
    </w:p>
    <w:p>
      <w:r>
        <w:br w:type="page"/>
      </w:r>
    </w:p>
    <w:p>
      <w:pPr>
        <w:pStyle w:val="Heading1"/>
      </w:pPr>
      <w:r>
        <w:t>Assessment Scope &amp; Methodology</w:t>
      </w:r>
    </w:p>
    <w:p>
      <w:pPr>
        <w:pBdr>
          <w:bottom w:val="single" w:sz="6" w:space="1" w:color="2E75B6"/>
        </w:pBdr>
        <w:spacing w:before="0" w:after="160"/>
      </w:pP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This section documents the scope of the security assessment, including assessed targets, tools used, and methodology applied.</w:t>
      </w:r>
    </w:p>
    <w:p>
      <w:pPr>
        <w:spacing w:before="0" w:after="120"/>
      </w:pPr>
    </w:p>
    <w:p>
      <w:pPr>
        <w:pStyle w:val="Heading2"/>
      </w:pPr>
      <w:r>
        <w:t>Assessed Targets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1008"/>
            <w:shd w:fill="1B2A47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9792"/>
            <w:shd w:fill="1B2A47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680"/>
            <w:shd w:fill="FFFFFF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1"/>
              </w:rPr>
              <w:t>1</w:t>
            </w:r>
          </w:p>
        </w:tc>
        <w:tc>
          <w:tcPr>
            <w:tcW w:type="dxa" w:w="4680"/>
            <w:shd w:fill="FFFFFF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1"/>
              </w:rPr>
              <w:t>cms.aptech-worldwide.com</w:t>
            </w:r>
          </w:p>
        </w:tc>
      </w:tr>
      <w:tr>
        <w:tc>
          <w:tcPr>
            <w:tcW w:type="dxa" w:w="4680"/>
            <w:shd w:fill="F5F5F5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1"/>
              </w:rPr>
              <w:t>2</w:t>
            </w:r>
          </w:p>
        </w:tc>
        <w:tc>
          <w:tcPr>
            <w:tcW w:type="dxa" w:w="4680"/>
            <w:shd w:fill="F5F5F5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1"/>
              </w:rPr>
              <w:t>3.108.93.130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Tools &amp; Techniques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2592"/>
            <w:shd w:fill="1B2A47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8208"/>
            <w:shd w:fill="1B2A47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  <w:shd w:fill="FFFFFF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1"/>
              </w:rPr>
              <w:t>NMAP</w:t>
            </w:r>
          </w:p>
        </w:tc>
        <w:tc>
          <w:tcPr>
            <w:tcW w:type="dxa" w:w="4680"/>
            <w:shd w:fill="FFFFFF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1"/>
              </w:rPr>
              <w:t>Network port scanning and service version detection.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Methodology</w:t>
      </w: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This assessment was conducted using non-intrusive external reconnaissance techniques. All scanning was limited to the agreed scope and did not include active exploitation of any identified vulnerability. Findings are derived from observed service behaviour, protocol-level analysis, and publicly observable infrastructure characteristics.</w:t>
      </w: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The assessment covers the following domains: network port exposure, SSL/TLS configuration quality, HTTP security header presence, service version disclosure, and infrastructure technology fingerprinting.</w:t>
      </w:r>
    </w:p>
    <w:p>
      <w:r>
        <w:br w:type="page"/>
      </w:r>
    </w:p>
    <w:p>
      <w:pPr>
        <w:pStyle w:val="Heading1"/>
      </w:pPr>
      <w:r>
        <w:t>Technical Findings</w:t>
      </w:r>
    </w:p>
    <w:p>
      <w:pPr>
        <w:pBdr>
          <w:bottom w:val="single" w:sz="6" w:space="1" w:color="2E75B6"/>
        </w:pBdr>
        <w:spacing w:before="0" w:after="160"/>
      </w:pP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No technical security findings were identified during this assessment, or all findings are informational. Refer to the Positive Security Observations section for confirmed security controls.</w:t>
      </w:r>
    </w:p>
    <w:p>
      <w:r>
        <w:br w:type="page"/>
      </w:r>
    </w:p>
    <w:p>
      <w:pPr>
        <w:pStyle w:val="Heading1"/>
      </w:pPr>
      <w:r>
        <w:t>TLS / HTTP / Infrastructure Observations</w:t>
      </w:r>
    </w:p>
    <w:p>
      <w:pPr>
        <w:pBdr>
          <w:bottom w:val="single" w:sz="6" w:space="1" w:color="2E75B6"/>
        </w:pBdr>
        <w:spacing w:before="0" w:after="160"/>
      </w:pP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The following observations are derived from direct analysis of TLS/SSL configuration, HTTP response behaviour, and network infrastructure characteristics identified during the assessment.</w:t>
      </w:r>
    </w:p>
    <w:p>
      <w:pPr>
        <w:spacing w:before="0" w:after="120"/>
      </w:pP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No TLS, HTTP, or network infrastructure data was available for this session. Ensure that SSLScan and Httpx output files were included in the ingested file set.</w:t>
      </w:r>
    </w:p>
    <w:p>
      <w:r>
        <w:br w:type="page"/>
      </w:r>
    </w:p>
    <w:p>
      <w:pPr>
        <w:pStyle w:val="Heading1"/>
      </w:pPr>
      <w:r>
        <w:t>Positive Security Observations</w:t>
      </w:r>
    </w:p>
    <w:p>
      <w:pPr>
        <w:pBdr>
          <w:bottom w:val="single" w:sz="6" w:space="1" w:color="2E75B6"/>
        </w:pBdr>
        <w:spacing w:before="0" w:after="160"/>
      </w:pP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The following security controls were observed to be correctly implemented at the time of assessment. These represent areas of strength that should be maintained and continuously reviewed.</w:t>
      </w:r>
    </w:p>
    <w:p>
      <w:pPr>
        <w:spacing w:before="0" w:after="120"/>
      </w:pP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No positive security observations were confirmed during this assessment. This may indicate insufficient data from the scan set, or that confirmable positive controls were not within scope.</w:t>
      </w:r>
    </w:p>
    <w:p>
      <w:r>
        <w:br w:type="page"/>
      </w:r>
    </w:p>
    <w:p>
      <w:pPr>
        <w:pStyle w:val="Heading1"/>
      </w:pPr>
      <w:r>
        <w:t>Remediation Roadmap</w:t>
      </w:r>
    </w:p>
    <w:p>
      <w:pPr>
        <w:pBdr>
          <w:bottom w:val="single" w:sz="6" w:space="1" w:color="2E75B6"/>
        </w:pBdr>
        <w:spacing w:before="0" w:after="160"/>
      </w:pP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The following remediation roadmap prioritizes identified findings into actionable time-bound phases. Immediate actions address the highest-severity risks. Short-term actions represent planned improvements for the next development or operations cycle.</w:t>
      </w:r>
    </w:p>
    <w:p>
      <w:pPr>
        <w:spacing w:before="0" w:after="120"/>
      </w:pP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Detailed AI-generated remediation guidance was not available for this session. Refer to the Technical Findings section for finding-specific recommendations, and consult relevant security standards (OWASP, CIS Benchmarks, NIST) for general remediation guidance.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Bdr>
          <w:bottom w:val="single" w:sz="6" w:space="1" w:color="2E75B6"/>
        </w:pBdr>
        <w:spacing w:before="0" w:after="160"/>
      </w:pPr>
    </w:p>
    <w:p>
      <w:pPr>
        <w:pStyle w:val="Heading2"/>
      </w:pPr>
      <w:r>
        <w:t>A.  Session Timeline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2880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Session ID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FINAL_TEST_20260522_0710</w:t>
            </w:r>
          </w:p>
        </w:tc>
      </w:tr>
      <w:tr>
        <w:tc>
          <w:tcPr>
            <w:tcW w:type="dxa" w:w="2880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Client Label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FINAL_TEST</w:t>
            </w:r>
          </w:p>
        </w:tc>
      </w:tr>
      <w:tr>
        <w:tc>
          <w:tcPr>
            <w:tcW w:type="dxa" w:w="2880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Status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COMPLETE</w:t>
            </w:r>
          </w:p>
        </w:tc>
      </w:tr>
      <w:tr>
        <w:tc>
          <w:tcPr>
            <w:tcW w:type="dxa" w:w="2880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Created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2026-05-22  07:10 UTC</w:t>
            </w:r>
          </w:p>
        </w:tc>
      </w:tr>
      <w:tr>
        <w:tc>
          <w:tcPr>
            <w:tcW w:type="dxa" w:w="2880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Last Updated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2026-05-22  07:25 UTC</w:t>
            </w:r>
          </w:p>
        </w:tc>
      </w:tr>
      <w:tr>
        <w:tc>
          <w:tcPr>
            <w:tcW w:type="dxa" w:w="2880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Files Ingested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1</w:t>
            </w:r>
          </w:p>
        </w:tc>
      </w:tr>
      <w:tr>
        <w:tc>
          <w:tcPr>
            <w:tcW w:type="dxa" w:w="2880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Targets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cms.aptech-worldwide.com, 3.108.93.130</w:t>
            </w:r>
          </w:p>
        </w:tc>
      </w:tr>
      <w:tr>
        <w:tc>
          <w:tcPr>
            <w:tcW w:type="dxa" w:w="2880"/>
            <w:shd w:fill="D5E8F0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1B2A47"/>
                <w:sz w:val="20"/>
              </w:rPr>
              <w:t>Tools</w:t>
            </w:r>
          </w:p>
        </w:tc>
        <w:tc>
          <w:tcPr>
            <w:tcW w:type="dxa" w:w="792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20"/>
              </w:rPr>
              <w:t>NMAP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B.  Ingested Scan Files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fill="1B2A47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Filename</w:t>
            </w:r>
          </w:p>
        </w:tc>
        <w:tc>
          <w:tcPr>
            <w:tcW w:type="dxa" w:w="1728"/>
            <w:shd w:fill="1B2A47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1440"/>
            <w:shd w:fill="1B2A47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Findings</w:t>
            </w:r>
          </w:p>
        </w:tc>
        <w:tc>
          <w:tcPr>
            <w:tcW w:type="dxa" w:w="1440"/>
            <w:shd w:fill="1B2A47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Parse (ms)</w:t>
            </w:r>
          </w:p>
        </w:tc>
        <w:tc>
          <w:tcPr>
            <w:tcW w:type="dxa" w:w="2592"/>
            <w:shd w:fill="1B2A47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Timestamp</w:t>
            </w:r>
          </w:p>
        </w:tc>
      </w:tr>
      <w:tr>
        <w:tc>
          <w:tcPr>
            <w:tcW w:type="dxa" w:w="1872"/>
            <w:shd w:fill="FFFFFF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8"/>
              </w:rPr>
              <w:t>aptech.txt</w:t>
            </w:r>
          </w:p>
        </w:tc>
        <w:tc>
          <w:tcPr>
            <w:tcW w:type="dxa" w:w="1872"/>
            <w:shd w:fill="FFFFFF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8"/>
              </w:rPr>
              <w:t>NMAP</w:t>
            </w:r>
          </w:p>
        </w:tc>
        <w:tc>
          <w:tcPr>
            <w:tcW w:type="dxa" w:w="1872"/>
            <w:shd w:fill="FFFFFF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8"/>
              </w:rPr>
              <w:t>0</w:t>
            </w:r>
          </w:p>
        </w:tc>
        <w:tc>
          <w:tcPr>
            <w:tcW w:type="dxa" w:w="1872"/>
            <w:shd w:fill="FFFFFF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8"/>
              </w:rPr>
              <w:t>0.0</w:t>
            </w:r>
          </w:p>
        </w:tc>
        <w:tc>
          <w:tcPr>
            <w:tcW w:type="dxa" w:w="1872"/>
            <w:shd w:fill="FFFFFF" w:color="auto" w:val="clea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4A4A4A"/>
                <w:sz w:val="18"/>
              </w:rPr>
              <w:t>2026-05-22 07:11:28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C.  Parser Metadata</w:t>
      </w: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NMAP: version unknown  (parsed in 0.0 ms)</w:t>
      </w:r>
    </w:p>
    <w:p>
      <w:pPr>
        <w:spacing w:before="0" w:after="120"/>
      </w:pPr>
    </w:p>
    <w:p>
      <w:pPr>
        <w:pStyle w:val="Heading2"/>
      </w:pPr>
      <w:r>
        <w:t>D.  AI Enrichment Status</w:t>
      </w: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Enrichment status: Partial / Unavailable</w:t>
      </w: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Findings enriched: 0</w:t>
      </w:r>
    </w:p>
    <w:p>
      <w:pPr>
        <w:spacing w:before="0" w:after="120"/>
      </w:pPr>
    </w:p>
    <w:p>
      <w:pPr>
        <w:pStyle w:val="Heading2"/>
      </w:pPr>
      <w:r>
        <w:t>E.  Disclaimer</w:t>
      </w: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This report was generated by IntelliAssess AI based on non-intrusive external reconnaissance techniques. All findings reflect observations at the time of assessment and may not account for changes made to the assessed environment after the assessment date.</w:t>
      </w:r>
    </w:p>
    <w:p>
      <w:pPr>
        <w:spacing w:after="120"/>
      </w:pPr>
      <w:r>
        <w:rPr>
          <w:rFonts w:ascii="Arial" w:hAnsi="Arial"/>
          <w:b w:val="0"/>
          <w:color w:val="4A4A4A"/>
          <w:sz w:val="21"/>
        </w:rPr>
        <w:t>This report does not constitute a guarantee of security, a comprehensive penetration test, or a formal compliance audit. Compliance determinations require review by qualified auditors and legal counsel. IntelliAssess AI findings are indicators for further investigation, not conclusive proof of exploitability.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4A4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