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Renewable Energy Orchestrator — Updated Document Pack</w:t>
      </w:r>
    </w:p>
    <w:p>
      <w:r>
        <w:t>Version 1.1 | 23 September 2026 | Confidential — client proposal</w:t>
      </w:r>
    </w:p>
    <w:p>
      <w:pPr>
        <w:pStyle w:val="Heading1"/>
      </w:pPr>
      <w:r>
        <w:t>Update summary</w:t>
      </w:r>
    </w:p>
    <w:p>
      <w:pPr>
        <w:pStyle w:val="ListBullet"/>
      </w:pPr>
      <w:r>
        <w:t>Repositioned the solution explicitly as a configurable platform, deployable as a reusable multi-tenant product or a dedicated client accelerator.</w:t>
      </w:r>
    </w:p>
    <w:p>
      <w:pPr>
        <w:pStyle w:val="ListBullet"/>
      </w:pPr>
      <w:r>
        <w:t>Added a Decision Centre that captures every procurement, source-switching, SCADA/EMS and BESS decision with reasoning, alternatives, constraints, confidence, approvals, signals, acknowledgements and outcomes.</w:t>
      </w:r>
    </w:p>
    <w:p>
      <w:pPr>
        <w:pStyle w:val="ListBullet"/>
      </w:pPr>
      <w:r>
        <w:t>Added governed Excel exports from dashboard filters, including Decisions, Signals, Reasoning, Approvals, Acknowledgements and Metadata worksheets.</w:t>
      </w:r>
    </w:p>
    <w:p>
      <w:pPr>
        <w:pStyle w:val="ListBullet"/>
      </w:pPr>
      <w:r>
        <w:t>Added Connector Studio for authorised humans to enter API endpoints, select vault-backed authentication, test mappings, configure approval rules and activate integrations using maker-checker controls.</w:t>
      </w:r>
    </w:p>
    <w:p>
      <w:pPr>
        <w:pStyle w:val="ListBullet"/>
      </w:pPr>
      <w:r>
        <w:t>Added detailed security controls for secrets, outbound endpoints, SSRF prevention, tenant isolation, OT segregation, stale approvals, signal idempotency and immutable audit evidence.</w:t>
      </w:r>
    </w:p>
    <w:p>
      <w:pPr>
        <w:pStyle w:val="Heading1"/>
      </w:pPr>
      <w:r>
        <w:t>Documents</w:t>
      </w:r>
    </w:p>
    <w:p>
      <w:pPr>
        <w:pStyle w:val="ListNumber"/>
      </w:pPr>
      <w:r>
        <w:t>01_BRD_Renewable_Energy_Orchestrator.docx</w:t>
      </w:r>
    </w:p>
    <w:p>
      <w:pPr>
        <w:pStyle w:val="ListNumber"/>
      </w:pPr>
      <w:r>
        <w:t>02_PRD_Renewable_Energy_Orchestrator.docx</w:t>
      </w:r>
    </w:p>
    <w:p>
      <w:pPr>
        <w:pStyle w:val="ListNumber"/>
      </w:pPr>
      <w:r>
        <w:t>03_FRD_Renewable_Energy_Orchestrator.docx</w:t>
      </w:r>
    </w:p>
    <w:p>
      <w:pPr>
        <w:pStyle w:val="ListNumber"/>
      </w:pPr>
      <w:r>
        <w:t>04_TRD_Renewable_Energy_Orchestrator.docx</w:t>
      </w:r>
    </w:p>
    <w:p>
      <w:pPr>
        <w:pStyle w:val="ListNumber"/>
      </w:pPr>
      <w:r>
        <w:t>05_Architecture_Renewable_Energy_Orchestrator.docx</w:t>
      </w:r>
    </w:p>
    <w:p>
      <w:pPr>
        <w:pStyle w:val="ListNumber"/>
      </w:pPr>
      <w:r>
        <w:t>06_Infrastructure_Renewable_Energy_Orchestrator.docx</w:t>
      </w:r>
    </w:p>
    <w:p>
      <w:pPr>
        <w:pStyle w:val="ListNumber"/>
      </w:pPr>
      <w:r>
        <w:t>07_Prompt_Agent_Design_Renewable_Energy_Orchestrator.docx</w:t>
      </w:r>
    </w:p>
    <w:p>
      <w:pPr>
        <w:pStyle w:val="ListNumber"/>
      </w:pPr>
      <w:r>
        <w:t>08_Implementation_Validation_Commercialisation_Plan.docx</w:t>
      </w:r>
    </w:p>
    <w:p>
      <w:pPr>
        <w:pStyle w:val="Heading1"/>
      </w:pPr>
      <w:r>
        <w:t>Important implementation principle</w:t>
      </w:r>
    </w:p>
    <w:p>
      <w:r>
        <w:t>Human-entered endpoints and authentication are managed through a governed connector workflow. Credentials are stored in a secrets vault, not in application configuration or exports. Safety-critical SCADA/BESS commands continue to pass through a separately segmented deterministic OT command gateway and cannot be sent directly from the browser or an AI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