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b/>
          <w:color w:val="007078"/>
          <w:sz w:val="56"/>
        </w:rPr>
        <w:t>Renewable Energy Orchestrator (REO)</w:t>
      </w:r>
    </w:p>
    <w:p>
      <w:pPr>
        <w:jc w:val="center"/>
      </w:pPr>
      <w:r>
        <w:rPr>
          <w:b/>
          <w:color w:val="0D3749"/>
          <w:sz w:val="48"/>
        </w:rPr>
        <w:t>Business Requirements Document (BRD)</w:t>
      </w:r>
    </w:p>
    <w:p>
      <w:pPr>
        <w:jc w:val="center"/>
      </w:pPr>
      <w:r>
        <w:rPr>
          <w:color w:val="505F64"/>
          <w:sz w:val="24"/>
        </w:rPr>
        <w:t>Client-ready specification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D3749"/>
          </w:tcPr>
          <w:p>
            <w:r>
              <w:rPr>
                <w:color w:val="FFFFFF"/>
              </w:rPr>
              <w:t>Version</w:t>
            </w:r>
          </w:p>
        </w:tc>
        <w:tc>
          <w:tcPr>
            <w:tcW w:type="dxa" w:w="5112"/>
          </w:tcPr>
          <w:p>
            <w:r>
              <w:t>1.1</w:t>
            </w:r>
          </w:p>
        </w:tc>
      </w:tr>
      <w:tr>
        <w:tc>
          <w:tcPr>
            <w:tcW w:type="dxa" w:w="5112"/>
            <w:shd w:fill="0D3749"/>
          </w:tcPr>
          <w:p>
            <w:r>
              <w:rPr>
                <w:color w:val="FFFFFF"/>
              </w:rPr>
              <w:t>Date</w:t>
            </w:r>
          </w:p>
        </w:tc>
        <w:tc>
          <w:tcPr>
            <w:tcW w:type="dxa" w:w="5112"/>
          </w:tcPr>
          <w:p>
            <w:r>
              <w:t>23 September 2026</w:t>
            </w:r>
          </w:p>
        </w:tc>
      </w:tr>
      <w:tr>
        <w:tc>
          <w:tcPr>
            <w:tcW w:type="dxa" w:w="5112"/>
            <w:shd w:fill="0D3749"/>
          </w:tcPr>
          <w:p>
            <w:r>
              <w:rPr>
                <w:color w:val="FFFFFF"/>
              </w:rPr>
              <w:t>Deployment</w:t>
            </w:r>
          </w:p>
        </w:tc>
        <w:tc>
          <w:tcPr>
            <w:tcW w:type="dxa" w:w="5112"/>
          </w:tcPr>
          <w:p>
            <w:r>
              <w:t>Cloud-neutral; first client on AWS</w:t>
            </w:r>
          </w:p>
        </w:tc>
      </w:tr>
      <w:tr>
        <w:tc>
          <w:tcPr>
            <w:tcW w:type="dxa" w:w="5112"/>
            <w:shd w:fill="0D3749"/>
          </w:tcPr>
          <w:p>
            <w:r>
              <w:rPr>
                <w:color w:val="FFFFFF"/>
              </w:rPr>
              <w:t>Market</w:t>
            </w:r>
          </w:p>
        </w:tc>
        <w:tc>
          <w:tcPr>
            <w:tcW w:type="dxa" w:w="5112"/>
          </w:tcPr>
          <w:p>
            <w:r>
              <w:t>European electricity market; GDPR applicable</w:t>
            </w:r>
          </w:p>
        </w:tc>
      </w:tr>
      <w:tr>
        <w:tc>
          <w:tcPr>
            <w:tcW w:type="dxa" w:w="5112"/>
            <w:shd w:fill="0D3749"/>
          </w:tcPr>
          <w:p>
            <w:r>
              <w:rPr>
                <w:color w:val="FFFFFF"/>
              </w:rPr>
              <w:t>Classification</w:t>
            </w:r>
          </w:p>
        </w:tc>
        <w:tc>
          <w:tcPr>
            <w:tcW w:type="dxa" w:w="5112"/>
          </w:tcPr>
          <w:p>
            <w:r>
              <w:t>Confidential — client proposal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The Renewable Energy Orchestrator is a production-grade decision and control platform that coordinates renewable generation, battery storage, flexible demand, grid interconnections and electricity-market participation. Every 10 minutes it evaluates current telemetry, forecasts, asset constraints, market conditions and uncertainty; produces a feasible portfolio plan; explains trade-offs; and, according to the selected autonomy mode, either observes, recommends, requests approval or executes policy-bounded commands.</w:t>
      </w:r>
    </w:p>
    <w:p>
      <w:r>
        <w:t>The product is cloud-neutral and packaged as a reusable multi-tenant platform, with the first client deployment on AWS. It is designed for European operations, GDPR, industrial cybersecurity, traceability and high-availability operation.</w:t>
      </w:r>
    </w:p>
    <w:p>
      <w:pPr>
        <w:pStyle w:val="Heading1"/>
      </w:pPr>
      <w:r>
        <w:t>Document assumptions and regulatory note</w:t>
      </w:r>
    </w:p>
    <w:p>
      <w:pPr>
        <w:pStyle w:val="ListBullet"/>
      </w:pPr>
      <w:r>
        <w:t>The product makes a 10-minute operational decision but settlement, nominations and financial reporting are independently configurable. For a pan-European baseline, the reference imbalance settlement period is 15 minutes; a 30-minute client interval is supported only where the applicable national market or exemption requires it.</w:t>
      </w:r>
    </w:p>
    <w:p>
      <w:pPr>
        <w:pStyle w:val="ListBullet"/>
      </w:pPr>
      <w:r>
        <w:t>Production control is implemented through a segregated operational-technology command gateway. The cloud never writes directly to field devices; commands require policy checks, equipment interlocks, acknowledgement and rollback/fail-safe handling.</w:t>
      </w:r>
    </w:p>
    <w:p>
      <w:pPr>
        <w:pStyle w:val="ListBullet"/>
      </w:pPr>
      <w:r>
        <w:t>Initial reference portfolio: 5 solar farms, 3 wind farms, 2 battery systems, industrial consumers, grid interconnections and market access. Capacity is sized for 2× expansion without redesign.</w:t>
      </w:r>
    </w:p>
    <w:p>
      <w:pPr>
        <w:pStyle w:val="ListBullet"/>
      </w:pPr>
      <w:r>
        <w:t>Target operating modes: Observe, Recommend, Approve-before-execute and Autonomous-within-policy-limits.</w:t>
      </w:r>
    </w:p>
    <w:p>
      <w:pPr>
        <w:pStyle w:val="ListBullet"/>
      </w:pPr>
      <w:r>
        <w:t>The solution is a reusable multi-tenant product with a supported single-tenant/configurable-accelerator deployment pattern for clients requiring stronger isolation.</w:t>
      </w:r>
    </w:p>
    <w:p>
      <w:pPr>
        <w:pStyle w:val="Heading1"/>
      </w:pPr>
      <w:r>
        <w:t>2. Business problem and opportunity</w:t>
      </w:r>
    </w:p>
    <w:p>
      <w:pPr>
        <w:pStyle w:val="ListBullet"/>
      </w:pPr>
      <w:r>
        <w:t>Variable solar and wind production creates imbalance exposure, curtailment and reliability risk.</w:t>
      </w:r>
    </w:p>
    <w:p>
      <w:pPr>
        <w:pStyle w:val="ListBullet"/>
      </w:pPr>
      <w:r>
        <w:t>Batteries, demand flexibility, market positions and grid constraints are commonly optimised in separate tools, producing locally optimal but portfolio-suboptimal decisions.</w:t>
      </w:r>
    </w:p>
    <w:p>
      <w:pPr>
        <w:pStyle w:val="ListBullet"/>
      </w:pPr>
      <w:r>
        <w:t>Human operators cannot consistently evaluate thousands of combinations and uncertainty scenarios every 10 minutes.</w:t>
      </w:r>
    </w:p>
    <w:p>
      <w:pPr>
        <w:pStyle w:val="ListBullet"/>
      </w:pPr>
      <w:r>
        <w:t>Clients require transparent automation that can be introduced progressively without bypassing existing SCADA/EMS protection layers.</w:t>
      </w:r>
    </w:p>
    <w:p>
      <w:pPr>
        <w:pStyle w:val="ListBullet"/>
      </w:pPr>
      <w:r>
        <w:t>A productised orchestrator can reduce operating cost and emissions, increase renewable utilisation and provide auditable decision governance.</w:t>
      </w:r>
    </w:p>
    <w:p>
      <w:pPr>
        <w:pStyle w:val="Heading1"/>
      </w:pPr>
      <w:r>
        <w:t>3. Business objectives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0D3749"/>
            <w:vAlign w:val="center"/>
          </w:tcPr>
          <w:p>
            <w:r>
              <w:rPr>
                <w:color w:val="FFFFFF"/>
              </w:rPr>
              <w:t>ID</w:t>
            </w:r>
          </w:p>
        </w:tc>
        <w:tc>
          <w:tcPr>
            <w:tcW w:type="dxa" w:w="3408"/>
            <w:shd w:fill="0D3749"/>
            <w:vAlign w:val="center"/>
          </w:tcPr>
          <w:p>
            <w:r>
              <w:rPr>
                <w:color w:val="FFFFFF"/>
              </w:rPr>
              <w:t>Objective</w:t>
            </w:r>
          </w:p>
        </w:tc>
        <w:tc>
          <w:tcPr>
            <w:tcW w:type="dxa" w:w="3408"/>
            <w:shd w:fill="0D3749"/>
            <w:vAlign w:val="center"/>
          </w:tcPr>
          <w:p>
            <w:r>
              <w:rPr>
                <w:color w:val="FFFFFF"/>
              </w:rPr>
              <w:t>Target / measurement</w:t>
            </w:r>
          </w:p>
        </w:tc>
      </w:tr>
      <w:tr>
        <w:tc>
          <w:tcPr>
            <w:tcW w:type="dxa" w:w="3408"/>
            <w:vAlign w:val="center"/>
          </w:tcPr>
          <w:p>
            <w:r>
              <w:t>BO-01</w:t>
            </w:r>
          </w:p>
        </w:tc>
        <w:tc>
          <w:tcPr>
            <w:tcW w:type="dxa" w:w="3408"/>
            <w:vAlign w:val="center"/>
          </w:tcPr>
          <w:p>
            <w:r>
              <w:t>Minimise total portfolio operating cost</w:t>
            </w:r>
          </w:p>
        </w:tc>
        <w:tc>
          <w:tcPr>
            <w:tcW w:type="dxa" w:w="3408"/>
            <w:vAlign w:val="center"/>
          </w:tcPr>
          <w:p>
            <w:r>
              <w:t>Baseline-adjusted cost reduction measured by settlement period and month.</w:t>
            </w:r>
          </w:p>
        </w:tc>
      </w:tr>
      <w:tr>
        <w:tc>
          <w:tcPr>
            <w:tcW w:type="dxa" w:w="3408"/>
            <w:vAlign w:val="center"/>
            <w:shd w:fill="EAF3F4"/>
          </w:tcPr>
          <w:p>
            <w:r>
              <w:t>BO-02</w:t>
            </w:r>
          </w:p>
        </w:tc>
        <w:tc>
          <w:tcPr>
            <w:tcW w:type="dxa" w:w="3408"/>
            <w:vAlign w:val="center"/>
            <w:shd w:fill="EAF3F4"/>
          </w:tcPr>
          <w:p>
            <w:r>
              <w:t>Maximise renewable utilisation</w:t>
            </w:r>
          </w:p>
        </w:tc>
        <w:tc>
          <w:tcPr>
            <w:tcW w:type="dxa" w:w="3408"/>
            <w:vAlign w:val="center"/>
            <w:shd w:fill="EAF3F4"/>
          </w:tcPr>
          <w:p>
            <w:r>
              <w:t>Renewable energy consumed or exported / available renewable energy.</w:t>
            </w:r>
          </w:p>
        </w:tc>
      </w:tr>
      <w:tr>
        <w:tc>
          <w:tcPr>
            <w:tcW w:type="dxa" w:w="3408"/>
            <w:vAlign w:val="center"/>
          </w:tcPr>
          <w:p>
            <w:r>
              <w:t>BO-03</w:t>
            </w:r>
          </w:p>
        </w:tc>
        <w:tc>
          <w:tcPr>
            <w:tcW w:type="dxa" w:w="3408"/>
            <w:vAlign w:val="center"/>
          </w:tcPr>
          <w:p>
            <w:r>
              <w:t>Maintain reliability and grid compliance</w:t>
            </w:r>
          </w:p>
        </w:tc>
        <w:tc>
          <w:tcPr>
            <w:tcW w:type="dxa" w:w="3408"/>
            <w:vAlign w:val="center"/>
          </w:tcPr>
          <w:p>
            <w:r>
              <w:t>Zero unsafe commands; constraint violations blocked; availability ≥99.95% for control plane target.</w:t>
            </w:r>
          </w:p>
        </w:tc>
      </w:tr>
      <w:tr>
        <w:tc>
          <w:tcPr>
            <w:tcW w:type="dxa" w:w="3408"/>
            <w:vAlign w:val="center"/>
            <w:shd w:fill="EAF3F4"/>
          </w:tcPr>
          <w:p>
            <w:r>
              <w:t>BO-04</w:t>
            </w:r>
          </w:p>
        </w:tc>
        <w:tc>
          <w:tcPr>
            <w:tcW w:type="dxa" w:w="3408"/>
            <w:vAlign w:val="center"/>
            <w:shd w:fill="EAF3F4"/>
          </w:tcPr>
          <w:p>
            <w:r>
              <w:t>Limit battery degradation</w:t>
            </w:r>
          </w:p>
        </w:tc>
        <w:tc>
          <w:tcPr>
            <w:tcW w:type="dxa" w:w="3408"/>
            <w:vAlign w:val="center"/>
            <w:shd w:fill="EAF3F4"/>
          </w:tcPr>
          <w:p>
            <w:r>
              <w:t>Optimise cycling cost, depth-of-discharge, temperature and warranty limits.</w:t>
            </w:r>
          </w:p>
        </w:tc>
      </w:tr>
      <w:tr>
        <w:tc>
          <w:tcPr>
            <w:tcW w:type="dxa" w:w="3408"/>
            <w:vAlign w:val="center"/>
          </w:tcPr>
          <w:p>
            <w:r>
              <w:t>BO-05</w:t>
            </w:r>
          </w:p>
        </w:tc>
        <w:tc>
          <w:tcPr>
            <w:tcW w:type="dxa" w:w="3408"/>
            <w:vAlign w:val="center"/>
          </w:tcPr>
          <w:p>
            <w:r>
              <w:t>Reduce carbon impact</w:t>
            </w:r>
          </w:p>
        </w:tc>
        <w:tc>
          <w:tcPr>
            <w:tcW w:type="dxa" w:w="3408"/>
            <w:vAlign w:val="center"/>
          </w:tcPr>
          <w:p>
            <w:r>
              <w:t>Track operational and marginal emissions; configurable carbon price.</w:t>
            </w:r>
          </w:p>
        </w:tc>
      </w:tr>
      <w:tr>
        <w:tc>
          <w:tcPr>
            <w:tcW w:type="dxa" w:w="3408"/>
            <w:vAlign w:val="center"/>
            <w:shd w:fill="EAF3F4"/>
          </w:tcPr>
          <w:p>
            <w:r>
              <w:t>BO-06</w:t>
            </w:r>
          </w:p>
        </w:tc>
        <w:tc>
          <w:tcPr>
            <w:tcW w:type="dxa" w:w="3408"/>
            <w:vAlign w:val="center"/>
            <w:shd w:fill="EAF3F4"/>
          </w:tcPr>
          <w:p>
            <w:r>
              <w:t>Enable progressive autonomy</w:t>
            </w:r>
          </w:p>
        </w:tc>
        <w:tc>
          <w:tcPr>
            <w:tcW w:type="dxa" w:w="3408"/>
            <w:vAlign w:val="center"/>
            <w:shd w:fill="EAF3F4"/>
          </w:tcPr>
          <w:p>
            <w:r>
              <w:t>Four governed modes with per-asset, per-action and per-risk policies.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BO-07</w:t>
            </w:r>
          </w:p>
        </w:tc>
        <w:tc>
          <w:tcPr>
            <w:tcW w:type="dxa" w:w="3408"/>
            <w:vAlign w:val="center"/>
          </w:tcPr>
          <w:p>
            <w:r>
              <w:t>Demonstrate decision reliability</w:t>
            </w:r>
          </w:p>
        </w:tc>
        <w:tc>
          <w:tcPr>
            <w:tcW w:type="dxa" w:w="3408"/>
            <w:vAlign w:val="center"/>
          </w:tcPr>
          <w:p>
            <w:r>
              <w:t>Replay, shadow operation, simulation, confidence scoring and deterministic feasibility validation.</w:t>
            </w:r>
          </w:p>
        </w:tc>
      </w:tr>
      <w:tr>
        <w:tc>
          <w:tcPr>
            <w:tcW w:type="dxa" w:w="3408"/>
            <w:vAlign w:val="center"/>
            <w:shd w:fill="EAF3F4"/>
          </w:tcPr>
          <w:p>
            <w:r>
              <w:t>BO-08</w:t>
            </w:r>
          </w:p>
        </w:tc>
        <w:tc>
          <w:tcPr>
            <w:tcW w:type="dxa" w:w="3408"/>
            <w:vAlign w:val="center"/>
            <w:shd w:fill="EAF3F4"/>
          </w:tcPr>
          <w:p>
            <w:r>
              <w:t>Create a sellable platform</w:t>
            </w:r>
          </w:p>
        </w:tc>
        <w:tc>
          <w:tcPr>
            <w:tcW w:type="dxa" w:w="3408"/>
            <w:vAlign w:val="center"/>
            <w:shd w:fill="EAF3F4"/>
          </w:tcPr>
          <w:p>
            <w:r>
              <w:t>Multi-tenant core, client configuration packs, APIs, deployment automation and evidence pack.</w:t>
            </w:r>
          </w:p>
        </w:tc>
      </w:tr>
    </w:tbl>
    <w:p>
      <w:pPr>
        <w:pStyle w:val="Heading1"/>
      </w:pPr>
      <w:r>
        <w:t>4.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0D3749"/>
            <w:vAlign w:val="center"/>
          </w:tcPr>
          <w:p>
            <w:r>
              <w:rPr>
                <w:color w:val="FFFFFF"/>
              </w:rPr>
              <w:t>Stakeholder</w:t>
            </w:r>
          </w:p>
        </w:tc>
        <w:tc>
          <w:tcPr>
            <w:tcW w:type="dxa" w:w="5112"/>
            <w:shd w:fill="0D3749"/>
            <w:vAlign w:val="center"/>
          </w:tcPr>
          <w:p>
            <w:r>
              <w:rPr>
                <w:color w:val="FFFFFF"/>
              </w:rPr>
              <w:t>Primary need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Control-room operator</w:t>
            </w:r>
          </w:p>
        </w:tc>
        <w:tc>
          <w:tcPr>
            <w:tcW w:type="dxa" w:w="5112"/>
            <w:vAlign w:val="center"/>
          </w:tcPr>
          <w:p>
            <w:r>
              <w:t>Clear alerts, recommendations, approvals, execution status and override.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Portfolio optimiser / trader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Market-aware dispatch, forecast confidence and P&amp;L attribution.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Asset manager</w:t>
            </w:r>
          </w:p>
        </w:tc>
        <w:tc>
          <w:tcPr>
            <w:tcW w:type="dxa" w:w="5112"/>
            <w:vAlign w:val="center"/>
          </w:tcPr>
          <w:p>
            <w:r>
              <w:t>Health, degradation, availability and maintenance coordination.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Grid / compliance officer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Constraint compliance, evidence and audit trail.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 protection officer</w:t>
            </w:r>
          </w:p>
        </w:tc>
        <w:tc>
          <w:tcPr>
            <w:tcW w:type="dxa" w:w="5112"/>
            <w:vAlign w:val="center"/>
          </w:tcPr>
          <w:p>
            <w:r>
              <w:t>DPIA evidence, minimisation, redaction and data-subject controls.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Cybersecurity / OT team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Zone separation, allow-listed commands, incident response and secure access.</w:t>
            </w:r>
          </w:p>
        </w:tc>
      </w:tr>
      <w:tr>
        <w:tc>
          <w:tcPr>
            <w:tcW w:type="dxa" w:w="5112"/>
            <w:vAlign w:val="center"/>
          </w:tcPr>
          <w:p>
            <w:r>
              <w:t>Client administrator</w:t>
            </w:r>
          </w:p>
        </w:tc>
        <w:tc>
          <w:tcPr>
            <w:tcW w:type="dxa" w:w="5112"/>
            <w:vAlign w:val="center"/>
          </w:tcPr>
          <w:p>
            <w:r>
              <w:t>Tenant, users, policies, models, integrations and configuration.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Executive sponsor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Value KPIs, risk posture and adoption roadmap.</w:t>
            </w:r>
          </w:p>
        </w:tc>
      </w:tr>
    </w:tbl>
    <w:p>
      <w:pPr>
        <w:pStyle w:val="Heading1"/>
      </w:pPr>
      <w:r>
        <w:t>5. Scope</w:t>
      </w:r>
    </w:p>
    <w:p>
      <w:r>
        <w:t>In scope:</w:t>
      </w:r>
    </w:p>
    <w:p>
      <w:pPr>
        <w:pStyle w:val="ListBullet"/>
      </w:pPr>
      <w:r>
        <w:t>File/path upload and scheduled folder ingestion; CSV, JSON, XML, Parquet, Excel, images, PDF and supported time-series exports.</w:t>
      </w:r>
    </w:p>
    <w:p>
      <w:pPr>
        <w:pStyle w:val="ListBullet"/>
      </w:pPr>
      <w:r>
        <w:t>Database and platform connectivity through JDBC/ODBC-compatible sources, REST, Kafka, MQTT, OPC UA and IEC protocol adapters.</w:t>
      </w:r>
    </w:p>
    <w:p>
      <w:pPr>
        <w:pStyle w:val="ListBullet"/>
      </w:pPr>
      <w:r>
        <w:t>Live telemetry, forecasts, weather, alerts, maintenance, market and carbon data.</w:t>
      </w:r>
    </w:p>
    <w:p>
      <w:pPr>
        <w:pStyle w:val="ListBullet"/>
      </w:pPr>
      <w:r>
        <w:t>Digital twin and scenario simulation over 12-hour, 24-hour, 48-hour and 7-day horizons.</w:t>
      </w:r>
    </w:p>
    <w:p>
      <w:pPr>
        <w:pStyle w:val="ListBullet"/>
      </w:pPr>
      <w:r>
        <w:t>Forecasting, uncertainty generation, constrained multi-objective optimisation and policy-aware action planning.</w:t>
      </w:r>
    </w:p>
    <w:p>
      <w:pPr>
        <w:pStyle w:val="ListBullet"/>
      </w:pPr>
      <w:r>
        <w:t>Operational dashboard, approvals, live commands, acknowledgement, rollback, audit and KPI reporting.</w:t>
      </w:r>
    </w:p>
    <w:p>
      <w:pPr>
        <w:pStyle w:val="ListBullet"/>
      </w:pPr>
      <w:r>
        <w:t>PII discovery/redaction, GDPR lifecycle controls and data-residency configuration.</w:t>
      </w:r>
    </w:p>
    <w:p>
      <w:pPr>
        <w:pStyle w:val="ListBullet"/>
      </w:pPr>
      <w:r>
        <w:t>Multi-tenancy and isolated single-client deployment.</w:t>
      </w:r>
    </w:p>
    <w:p>
      <w:r>
        <w:t>Out of scope for the base release:</w:t>
      </w:r>
    </w:p>
    <w:p>
      <w:pPr>
        <w:pStyle w:val="ListBullet"/>
      </w:pPr>
      <w:r>
        <w:t>Replacement of protective relays, PLC safety logic, SCADA master station or market settlement system.</w:t>
      </w:r>
    </w:p>
    <w:p>
      <w:pPr>
        <w:pStyle w:val="ListBullet"/>
      </w:pPr>
      <w:r>
        <w:t>Unsupervised modification of protection settings or firmware.</w:t>
      </w:r>
    </w:p>
    <w:p>
      <w:pPr>
        <w:pStyle w:val="ListBullet"/>
      </w:pPr>
      <w:r>
        <w:t>Direct cloud-to-device control that bypasses the client’s OT command gateway and equipment interlocks.</w:t>
      </w:r>
    </w:p>
    <w:p>
      <w:pPr>
        <w:pStyle w:val="ListBullet"/>
      </w:pPr>
      <w:r>
        <w:t>Country-specific market certification until the target Member State, TSO/DSO and NEMO are confirmed.</w:t>
      </w:r>
    </w:p>
    <w:p>
      <w:pPr>
        <w:pStyle w:val="Heading1"/>
      </w:pPr>
      <w:r>
        <w:t>6. Business capabilities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0D3749"/>
            <w:vAlign w:val="center"/>
          </w:tcPr>
          <w:p>
            <w:r>
              <w:rPr>
                <w:color w:val="FFFFFF"/>
              </w:rPr>
              <w:t>Capability</w:t>
            </w:r>
          </w:p>
        </w:tc>
        <w:tc>
          <w:tcPr>
            <w:tcW w:type="dxa" w:w="5112"/>
            <w:shd w:fill="0D3749"/>
            <w:vAlign w:val="center"/>
          </w:tcPr>
          <w:p>
            <w:r>
              <w:rPr>
                <w:color w:val="FFFFFF"/>
              </w:rPr>
              <w:t>Description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Portfolio digital twin</w:t>
            </w:r>
          </w:p>
        </w:tc>
        <w:tc>
          <w:tcPr>
            <w:tcW w:type="dxa" w:w="5112"/>
            <w:vAlign w:val="center"/>
          </w:tcPr>
          <w:p>
            <w:r>
              <w:t>Canonical model of sites, assets, network limits, contracts, consumers and market interfaces.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Data fabric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Batch, streaming and multimodal ingestion with quality, lineage, schemas and replay.</w:t>
            </w:r>
          </w:p>
        </w:tc>
      </w:tr>
      <w:tr>
        <w:tc>
          <w:tcPr>
            <w:tcW w:type="dxa" w:w="5112"/>
            <w:vAlign w:val="center"/>
          </w:tcPr>
          <w:p>
            <w:r>
              <w:t>Forecast intelligence</w:t>
            </w:r>
          </w:p>
        </w:tc>
        <w:tc>
          <w:tcPr>
            <w:tcW w:type="dxa" w:w="5112"/>
            <w:vAlign w:val="center"/>
          </w:tcPr>
          <w:p>
            <w:r>
              <w:t>Solar, wind, demand, price and availability forecasts with probabilistic bands.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Scenario laboratory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Deterministic and Monte Carlo what-if simulation with shocks and contingency events.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Decision engine</w:t>
            </w:r>
          </w:p>
        </w:tc>
        <w:tc>
          <w:tcPr>
            <w:tcW w:type="dxa" w:w="5112"/>
            <w:vAlign w:val="center"/>
          </w:tcPr>
          <w:p>
            <w:r>
              <w:t>Multi-objective optimisation subject to physical, contractual and policy constraints.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Agentic orchestration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Specialist agents prepare evidence, challenge plans, explain outcomes and manage workflows.</w:t>
            </w:r>
          </w:p>
        </w:tc>
      </w:tr>
      <w:tr>
        <w:tc>
          <w:tcPr>
            <w:tcW w:type="dxa" w:w="5112"/>
            <w:vAlign w:val="center"/>
          </w:tcPr>
          <w:p>
            <w:r>
              <w:t>Safe action execution</w:t>
            </w:r>
          </w:p>
        </w:tc>
        <w:tc>
          <w:tcPr>
            <w:tcW w:type="dxa" w:w="5112"/>
            <w:vAlign w:val="center"/>
          </w:tcPr>
          <w:p>
            <w:r>
              <w:t>Approval, command envelope, interlocks, two-phase execution, acknowledgement and recovery.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Governance cockpit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Modes, policies, overrides, incident controls, audit and model/agent monitoring.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Commercial analytics</w:t>
            </w:r>
          </w:p>
        </w:tc>
        <w:tc>
          <w:tcPr>
            <w:tcW w:type="dxa" w:w="5112"/>
            <w:vAlign w:val="center"/>
          </w:tcPr>
          <w:p>
            <w:r>
              <w:t>Savings, revenue, imbalance cost, curtailment, emissions and battery degradation attribution.</w:t>
            </w:r>
          </w:p>
        </w:tc>
      </w:tr>
    </w:tbl>
    <w:p>
      <w:pPr>
        <w:pStyle w:val="Heading1"/>
      </w:pPr>
      <w:r>
        <w:t>7. 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0D3749"/>
            <w:vAlign w:val="center"/>
          </w:tcPr>
          <w:p>
            <w:r>
              <w:rPr>
                <w:color w:val="FFFFFF"/>
              </w:rPr>
              <w:t>Rule</w:t>
            </w:r>
          </w:p>
        </w:tc>
        <w:tc>
          <w:tcPr>
            <w:tcW w:type="dxa" w:w="5112"/>
            <w:shd w:fill="0D3749"/>
            <w:vAlign w:val="center"/>
          </w:tcPr>
          <w:p>
            <w:r>
              <w:rPr>
                <w:color w:val="FFFFFF"/>
              </w:rPr>
              <w:t>Requirement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BR-01</w:t>
            </w:r>
          </w:p>
        </w:tc>
        <w:tc>
          <w:tcPr>
            <w:tcW w:type="dxa" w:w="5112"/>
            <w:vAlign w:val="center"/>
          </w:tcPr>
          <w:p>
            <w:r>
              <w:t>Safety and hard technical constraints always dominate economic objectives.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BR-02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The optimiser may only select actions within the current asset capability and policy envelope.</w:t>
            </w:r>
          </w:p>
        </w:tc>
      </w:tr>
      <w:tr>
        <w:tc>
          <w:tcPr>
            <w:tcW w:type="dxa" w:w="5112"/>
            <w:vAlign w:val="center"/>
          </w:tcPr>
          <w:p>
            <w:r>
              <w:t>BR-03</w:t>
            </w:r>
          </w:p>
        </w:tc>
        <w:tc>
          <w:tcPr>
            <w:tcW w:type="dxa" w:w="5112"/>
            <w:vAlign w:val="center"/>
          </w:tcPr>
          <w:p>
            <w:r>
              <w:t>An LLM/agent may not directly issue an actuator command; an independently validated structured action must pass the deterministic safety layer.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BR-04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Manual override, SCADA interlocks and local protection take precedence over the orchestrator.</w:t>
            </w:r>
          </w:p>
        </w:tc>
      </w:tr>
      <w:tr>
        <w:tc>
          <w:tcPr>
            <w:tcW w:type="dxa" w:w="5112"/>
            <w:vAlign w:val="center"/>
          </w:tcPr>
          <w:p>
            <w:r>
              <w:t>BR-05</w:t>
            </w:r>
          </w:p>
        </w:tc>
        <w:tc>
          <w:tcPr>
            <w:tcW w:type="dxa" w:w="5112"/>
            <w:vAlign w:val="center"/>
          </w:tcPr>
          <w:p>
            <w:r>
              <w:t>If telemetry is stale, contradictory or below confidence thresholds, the system must degrade to a safer mode.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BR-06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Every recommendation and command must retain inputs, model versions, constraints, objective weights, alternatives, approvals and outcome.</w:t>
            </w:r>
          </w:p>
        </w:tc>
      </w:tr>
      <w:tr>
        <w:tc>
          <w:tcPr>
            <w:tcW w:type="dxa" w:w="5112"/>
            <w:vAlign w:val="center"/>
          </w:tcPr>
          <w:p>
            <w:r>
              <w:t>BR-07</w:t>
            </w:r>
          </w:p>
        </w:tc>
        <w:tc>
          <w:tcPr>
            <w:tcW w:type="dxa" w:w="5112"/>
            <w:vAlign w:val="center"/>
          </w:tcPr>
          <w:p>
            <w:r>
              <w:t>Tenant data and credentials must not cross tenant boundaries.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BR-08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Personal data must be minimised, redacted/pseudonymised where possible and retained only under configured schedules.</w:t>
            </w:r>
          </w:p>
        </w:tc>
      </w:tr>
    </w:tbl>
    <w:p>
      <w:pPr>
        <w:pStyle w:val="Heading1"/>
      </w:pPr>
      <w:r>
        <w:t>8. Success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0D3749"/>
            <w:vAlign w:val="center"/>
          </w:tcPr>
          <w:p>
            <w:r>
              <w:rPr>
                <w:color w:val="FFFFFF"/>
              </w:rPr>
              <w:t>Dimension</w:t>
            </w:r>
          </w:p>
        </w:tc>
        <w:tc>
          <w:tcPr>
            <w:tcW w:type="dxa" w:w="5112"/>
            <w:shd w:fill="0D3749"/>
            <w:vAlign w:val="center"/>
          </w:tcPr>
          <w:p>
            <w:r>
              <w:rPr>
                <w:color w:val="FFFFFF"/>
              </w:rPr>
              <w:t>Pilot acceptance criterion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Feasibility</w:t>
            </w:r>
          </w:p>
        </w:tc>
        <w:tc>
          <w:tcPr>
            <w:tcW w:type="dxa" w:w="5112"/>
            <w:vAlign w:val="center"/>
          </w:tcPr>
          <w:p>
            <w:r>
              <w:t>100% of proposed actions pass independent constraint validation before release.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Safety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100% blocked when outside command envelope; tested emergency stop and fallback.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Decision latency</w:t>
            </w:r>
          </w:p>
        </w:tc>
        <w:tc>
          <w:tcPr>
            <w:tcW w:type="dxa" w:w="5112"/>
            <w:vAlign w:val="center"/>
          </w:tcPr>
          <w:p>
            <w:r>
              <w:t>Normal 10-minute cycle completed within 120 seconds; fast re-plan within 30 seconds for critical events.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Forecast quality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Reported against persistence and approved client baselines with MAE/RMSE/coverage.</w:t>
            </w:r>
          </w:p>
        </w:tc>
      </w:tr>
      <w:tr>
        <w:tc>
          <w:tcPr>
            <w:tcW w:type="dxa" w:w="5112"/>
            <w:vAlign w:val="center"/>
          </w:tcPr>
          <w:p>
            <w:r>
              <w:t>Economic value</w:t>
            </w:r>
          </w:p>
        </w:tc>
        <w:tc>
          <w:tcPr>
            <w:tcW w:type="dxa" w:w="5112"/>
            <w:vAlign w:val="center"/>
          </w:tcPr>
          <w:p>
            <w:r>
              <w:t>Back-test and shadow-mode improvement versus client baseline, with statistically valid reporting.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Availability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Control path target 99.95%; dashboard target 99.9%, excluding agreed maintenance.</w:t>
            </w:r>
          </w:p>
        </w:tc>
      </w:tr>
      <w:tr>
        <w:tc>
          <w:tcPr>
            <w:tcW w:type="dxa" w:w="5112"/>
            <w:vAlign w:val="center"/>
          </w:tcPr>
          <w:p>
            <w:r>
              <w:t>Audit</w:t>
            </w:r>
          </w:p>
        </w:tc>
        <w:tc>
          <w:tcPr>
            <w:tcW w:type="dxa" w:w="5112"/>
            <w:vAlign w:val="center"/>
          </w:tcPr>
          <w:p>
            <w:r>
              <w:t>Complete evidence chain retrievable by decision ID.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Governance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All four autonomy modes demonstrated with role-based approval and override.</w:t>
            </w:r>
          </w:p>
        </w:tc>
      </w:tr>
    </w:tbl>
    <w:p>
      <w:pPr>
        <w:pStyle w:val="Heading1"/>
      </w:pPr>
      <w:r>
        <w:t>9. Delivery approach</w:t>
      </w:r>
    </w:p>
    <w:p>
      <w:pPr>
        <w:pStyle w:val="ListNumber"/>
      </w:pPr>
      <w:r>
        <w:t>Discovery, market and grid-code confirmation, OT safety assessment and DPIA.</w:t>
      </w:r>
    </w:p>
    <w:p>
      <w:pPr>
        <w:pStyle w:val="ListNumber"/>
      </w:pPr>
      <w:r>
        <w:t>Data foundation, digital twin and historical replay.</w:t>
      </w:r>
    </w:p>
    <w:p>
      <w:pPr>
        <w:pStyle w:val="ListNumber"/>
      </w:pPr>
      <w:r>
        <w:t>Forecasts, scenario engine and offline optimiser validation.</w:t>
      </w:r>
    </w:p>
    <w:p>
      <w:pPr>
        <w:pStyle w:val="ListNumber"/>
      </w:pPr>
      <w:r>
        <w:t>Observe mode followed by shadow/recommend mode.</w:t>
      </w:r>
    </w:p>
    <w:p>
      <w:pPr>
        <w:pStyle w:val="ListNumber"/>
      </w:pPr>
      <w:r>
        <w:t>Approval mode with hardware-in-the-loop and site acceptance testing.</w:t>
      </w:r>
    </w:p>
    <w:p>
      <w:pPr>
        <w:pStyle w:val="ListNumber"/>
      </w:pPr>
      <w:r>
        <w:t>Restricted autonomous pilot for low-risk actions within narrow envelopes.</w:t>
      </w:r>
    </w:p>
    <w:p>
      <w:pPr>
        <w:pStyle w:val="ListNumber"/>
      </w:pPr>
      <w:r>
        <w:t>Progressive expansion by asset, action class and operating condition.</w:t>
      </w:r>
    </w:p>
    <w:p>
      <w:pPr>
        <w:pStyle w:val="Heading1"/>
      </w:pPr>
      <w:r>
        <w:t>Reference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0D3749"/>
            <w:vAlign w:val="center"/>
          </w:tcPr>
          <w:p>
            <w:r>
              <w:rPr>
                <w:color w:val="FFFFFF"/>
              </w:rPr>
              <w:t>Source</w:t>
            </w:r>
          </w:p>
        </w:tc>
        <w:tc>
          <w:tcPr>
            <w:tcW w:type="dxa" w:w="5112"/>
            <w:shd w:fill="0D3749"/>
            <w:vAlign w:val="center"/>
          </w:tcPr>
          <w:p>
            <w:r>
              <w:rPr>
                <w:color w:val="FFFFFF"/>
              </w:rPr>
              <w:t>Use in specification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EU Electricity Regulation (EU) 2019/943</w:t>
            </w:r>
          </w:p>
        </w:tc>
        <w:tc>
          <w:tcPr>
            <w:tcW w:type="dxa" w:w="5112"/>
            <w:vAlign w:val="center"/>
          </w:tcPr>
          <w:p>
            <w:r>
              <w:t>Reference imbalance settlement period is 15 minutes, subject to applicable exemptions.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Commission Regulation (EU) 2017/2195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Electricity balancing and imbalance-settlement framework.</w:t>
            </w:r>
          </w:p>
        </w:tc>
      </w:tr>
      <w:tr>
        <w:tc>
          <w:tcPr>
            <w:tcW w:type="dxa" w:w="5112"/>
            <w:vAlign w:val="center"/>
          </w:tcPr>
          <w:p>
            <w:r>
              <w:t>GDPR Regulation (EU) 2016/679</w:t>
            </w:r>
          </w:p>
        </w:tc>
        <w:tc>
          <w:tcPr>
            <w:tcW w:type="dxa" w:w="5112"/>
            <w:vAlign w:val="center"/>
          </w:tcPr>
          <w:p>
            <w:r>
              <w:t>Data protection by design/default, data minimisation and DPIA obligations.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NIS2 Directive (EU) 2022/2555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Cybersecurity risk management applicable to relevant energy entities.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EU AI Act / European Commission guidance</w:t>
            </w:r>
          </w:p>
        </w:tc>
        <w:tc>
          <w:tcPr>
            <w:tcW w:type="dxa" w:w="5112"/>
            <w:vAlign w:val="center"/>
          </w:tcPr>
          <w:p>
            <w:r>
              <w:t>Potential high-risk treatment where AI is a safety component in critical infrastructure; classification must be assessed for the deployed use case.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IEC 62443 series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Industrial automation and control-system cybersecurity principles.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AWS IoT SiteWise and AWS IoT Greengrass official documentation</w:t>
            </w:r>
          </w:p>
        </w:tc>
        <w:tc>
          <w:tcPr>
            <w:tcW w:type="dxa" w:w="5112"/>
            <w:vAlign w:val="center"/>
          </w:tcPr>
          <w:p>
            <w:r>
              <w:t>AWS-specific industrial-edge and OPC UA implementation reference.</w:t>
            </w:r>
          </w:p>
        </w:tc>
      </w:tr>
    </w:tbl>
    <w:p>
      <w:r>
        <w:br w:type="page"/>
      </w:r>
    </w:p>
    <w:p>
      <w:pPr>
        <w:pStyle w:val="Heading1"/>
      </w:pPr>
      <w:r>
        <w:t>10. Platform, decision transparency and client integration requirements</w:t>
      </w:r>
    </w:p>
    <w:p>
      <w:r>
        <w:t>The Renewable Energy Orchestrator shall be delivered as a configurable platform rather than a single-purpose application. The platform shall provide tenant administration, portfolio and asset onboarding, configurable workflows, reusable connectors, policy packs, role-based access, dashboard composition, API lifecycle management, audit and reporting capabilities.</w:t>
      </w:r>
    </w:p>
    <w:p>
      <w:r>
        <w:t>Every proposed, approved, rejected, modified, executed, failed, rolled-back or expired decision affecting energy procurement, energy-source switching, renewable curtailment, demand response, SCADA/EMS commands or BESS charge/discharge/reserve settings shall be visible in the platform dashboard. Records shall include inputs, objective trade-offs, constraints, confidence, reasoning, approver activity, outbound signal, acknowledgement and measured outcome.</w:t>
      </w:r>
    </w:p>
    <w:p>
      <w:r>
        <w:t>The dashboard shall allow authorised users to register client-system API endpoints, choose an approved authentication method, test connectivity, map payloads, configure approval requirements and enable or disable execution. Secrets shall be stored in a managed secrets vault and shall never be displayed after entry.</w:t>
      </w:r>
    </w:p>
    <w:p>
      <w:r>
        <w:t>Users shall be able to export the filtered decision and signal ledger as an Excel workbook for governance, settlement support, operational review, incident analysis and audit.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Business requirement</w:t>
            </w:r>
          </w:p>
        </w:tc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Acceptance outcome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BR-PLT-01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Operate as a reusable, configurable, multi-tenant platform with tenant-isolated configuration, policies, data and audit records.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A new tenant can be provisioned and configured without source-code changes.</w:t>
            </w:r>
          </w:p>
        </w:tc>
      </w:tr>
      <w:tr>
        <w:tc>
          <w:tcPr>
            <w:tcW w:type="dxa" w:w="3408"/>
            <w:vAlign w:val="top"/>
            <w:shd w:fill="DCE6F1"/>
          </w:tcPr>
          <w:p>
            <w:r>
              <w:rPr>
                <w:sz w:val="17"/>
              </w:rPr>
              <w:t>BR-DEC-01</w:t>
            </w:r>
          </w:p>
        </w:tc>
        <w:tc>
          <w:tcPr>
            <w:tcW w:type="dxa" w:w="3408"/>
            <w:vAlign w:val="top"/>
            <w:shd w:fill="DCE6F1"/>
          </w:tcPr>
          <w:p>
            <w:r>
              <w:rPr>
                <w:sz w:val="17"/>
              </w:rPr>
              <w:t>Capture the full lifecycle of every energy procurement, source-switching, SCADA/EMS and BESS decision.</w:t>
            </w:r>
          </w:p>
        </w:tc>
        <w:tc>
          <w:tcPr>
            <w:tcW w:type="dxa" w:w="3408"/>
            <w:vAlign w:val="top"/>
            <w:shd w:fill="DCE6F1"/>
          </w:tcPr>
          <w:p>
            <w:r>
              <w:rPr>
                <w:sz w:val="17"/>
              </w:rPr>
              <w:t>Dashboard presents proposal, reasoning, approval, dispatch, acknowledgement and outcome.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BR-DEC-02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Maintain an immutable, time-synchronised decision and signal ledger.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Records are searchable by tenant, portfolio, asset, decision, interval, status and approver.</w:t>
            </w:r>
          </w:p>
        </w:tc>
      </w:tr>
      <w:tr>
        <w:tc>
          <w:tcPr>
            <w:tcW w:type="dxa" w:w="3408"/>
            <w:vAlign w:val="top"/>
            <w:shd w:fill="DCE6F1"/>
          </w:tcPr>
          <w:p>
            <w:r>
              <w:rPr>
                <w:sz w:val="17"/>
              </w:rPr>
              <w:t>BR-EXP-01</w:t>
            </w:r>
          </w:p>
        </w:tc>
        <w:tc>
          <w:tcPr>
            <w:tcW w:type="dxa" w:w="3408"/>
            <w:vAlign w:val="top"/>
            <w:shd w:fill="DCE6F1"/>
          </w:tcPr>
          <w:p>
            <w:r>
              <w:rPr>
                <w:sz w:val="17"/>
              </w:rPr>
              <w:t>Provide downloadable Excel exports of all filtered decisions, reasoning and signals.</w:t>
            </w:r>
          </w:p>
        </w:tc>
        <w:tc>
          <w:tcPr>
            <w:tcW w:type="dxa" w:w="3408"/>
            <w:vAlign w:val="top"/>
            <w:shd w:fill="DCE6F1"/>
          </w:tcPr>
          <w:p>
            <w:r>
              <w:rPr>
                <w:sz w:val="17"/>
              </w:rPr>
              <w:t>Export is permission-controlled, tenant-scoped, timestamped and audit logged.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BR-API-01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Allow authorised humans to configure API endpoint, authentication reference, payload mapping and approval policy through the platform.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Connection can be tested in a sandbox before activation; credentials remain masked.</w:t>
            </w:r>
          </w:p>
        </w:tc>
      </w:tr>
      <w:tr>
        <w:tc>
          <w:tcPr>
            <w:tcW w:type="dxa" w:w="3408"/>
            <w:vAlign w:val="top"/>
            <w:shd w:fill="DCE6F1"/>
          </w:tcPr>
          <w:p>
            <w:r>
              <w:rPr>
                <w:sz w:val="17"/>
              </w:rPr>
              <w:t>BR-HITL-01</w:t>
            </w:r>
          </w:p>
        </w:tc>
        <w:tc>
          <w:tcPr>
            <w:tcW w:type="dxa" w:w="3408"/>
            <w:vAlign w:val="top"/>
            <w:shd w:fill="DCE6F1"/>
          </w:tcPr>
          <w:p>
            <w:r>
              <w:rPr>
                <w:sz w:val="17"/>
              </w:rPr>
              <w:t>Allow a human to approve, reject, modify within authorised limits, hold or expire a decision before API/OT execution.</w:t>
            </w:r>
          </w:p>
        </w:tc>
        <w:tc>
          <w:tcPr>
            <w:tcW w:type="dxa" w:w="3408"/>
            <w:vAlign w:val="top"/>
            <w:shd w:fill="DCE6F1"/>
          </w:tcPr>
          <w:p>
            <w:r>
              <w:rPr>
                <w:sz w:val="17"/>
              </w:rPr>
              <w:t>No approval-gated command is sent without a valid, unexpired approval.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BR-SAF-01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Separate business API execution from safety-critical OT command execution and retain hard interlocks.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SCADA/BESS signals pass policy, safety, rate-limit and command-gateway checks.</w:t>
            </w:r>
          </w:p>
        </w:tc>
      </w:tr>
    </w:tbl>
    <w:p/>
    <w:p>
      <w:r>
        <w:rPr>
          <w:b/>
        </w:rPr>
        <w:t xml:space="preserve">Version 1.1 update scope: </w:t>
      </w:r>
      <w:r>
        <w:t>Platform product positioning; complete decision/signal dashboard lineage; governed Excel export; human-configurable API integration and authentication; approval-gated execution; and strengthened multi-tenant, OT and connector security controls.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96E"/>
        <w:sz w:val="16"/>
      </w:rPr>
      <w:t xml:space="preserve">Confidential client proposal  •  v1.0  •  23 September 2026   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696E"/>
        <w:sz w:val="16"/>
      </w:rPr>
      <w:t>Renewable Energy Orchestrator (REO)  |  Business Requirements Document (BRD)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37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0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0505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D374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3E606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