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07078"/>
          <w:sz w:val="56"/>
        </w:rPr>
        <w:t>Renewable Energy Orchestrator (REO)</w:t>
      </w:r>
    </w:p>
    <w:p>
      <w:pPr>
        <w:jc w:val="center"/>
      </w:pPr>
      <w:r>
        <w:rPr>
          <w:b/>
          <w:color w:val="0D3749"/>
          <w:sz w:val="48"/>
        </w:rPr>
        <w:t>Product Requirements Document (PRD)</w:t>
      </w:r>
    </w:p>
    <w:p>
      <w:pPr>
        <w:jc w:val="center"/>
      </w:pPr>
      <w:r>
        <w:rPr>
          <w:color w:val="505F64"/>
          <w:sz w:val="24"/>
        </w:rPr>
        <w:t>Client-ready specification</w:t>
      </w:r>
    </w:p>
    <w:p/>
    <w:tbl>
      <w:tblPr>
        <w:tblStyle w:val="TableGrid"/>
        <w:tblW w:type="auto" w:w="0"/>
        <w:jc w:val="center"/>
        <w:tblLook w:firstColumn="1" w:firstRow="1" w:lastColumn="0" w:lastRow="0" w:noHBand="0" w:noVBand="1" w:val="04A0"/>
      </w:tblPr>
      <w:tblGrid>
        <w:gridCol w:w="5112"/>
        <w:gridCol w:w="5112"/>
      </w:tblGrid>
      <w:tr>
        <w:tc>
          <w:tcPr>
            <w:tcW w:type="dxa" w:w="5112"/>
            <w:shd w:fill="0D3749"/>
          </w:tcPr>
          <w:p>
            <w:r>
              <w:rPr>
                <w:color w:val="FFFFFF"/>
              </w:rPr>
              <w:t>Version</w:t>
            </w:r>
          </w:p>
        </w:tc>
        <w:tc>
          <w:tcPr>
            <w:tcW w:type="dxa" w:w="5112"/>
          </w:tcPr>
          <w:p>
            <w:r>
              <w:t>1.1</w:t>
            </w:r>
          </w:p>
        </w:tc>
      </w:tr>
      <w:tr>
        <w:tc>
          <w:tcPr>
            <w:tcW w:type="dxa" w:w="5112"/>
            <w:shd w:fill="0D3749"/>
          </w:tcPr>
          <w:p>
            <w:r>
              <w:rPr>
                <w:color w:val="FFFFFF"/>
              </w:rPr>
              <w:t>Date</w:t>
            </w:r>
          </w:p>
        </w:tc>
        <w:tc>
          <w:tcPr>
            <w:tcW w:type="dxa" w:w="5112"/>
          </w:tcPr>
          <w:p>
            <w:r>
              <w:t>23 September 2026</w:t>
            </w:r>
          </w:p>
        </w:tc>
      </w:tr>
      <w:tr>
        <w:tc>
          <w:tcPr>
            <w:tcW w:type="dxa" w:w="5112"/>
            <w:shd w:fill="0D3749"/>
          </w:tcPr>
          <w:p>
            <w:r>
              <w:rPr>
                <w:color w:val="FFFFFF"/>
              </w:rPr>
              <w:t>Deployment</w:t>
            </w:r>
          </w:p>
        </w:tc>
        <w:tc>
          <w:tcPr>
            <w:tcW w:type="dxa" w:w="5112"/>
          </w:tcPr>
          <w:p>
            <w:r>
              <w:t>Cloud-neutral; first client on AWS</w:t>
            </w:r>
          </w:p>
        </w:tc>
      </w:tr>
      <w:tr>
        <w:tc>
          <w:tcPr>
            <w:tcW w:type="dxa" w:w="5112"/>
            <w:shd w:fill="0D3749"/>
          </w:tcPr>
          <w:p>
            <w:r>
              <w:rPr>
                <w:color w:val="FFFFFF"/>
              </w:rPr>
              <w:t>Market</w:t>
            </w:r>
          </w:p>
        </w:tc>
        <w:tc>
          <w:tcPr>
            <w:tcW w:type="dxa" w:w="5112"/>
          </w:tcPr>
          <w:p>
            <w:r>
              <w:t>European electricity market; GDPR applicable</w:t>
            </w:r>
          </w:p>
        </w:tc>
      </w:tr>
      <w:tr>
        <w:tc>
          <w:tcPr>
            <w:tcW w:type="dxa" w:w="5112"/>
            <w:shd w:fill="0D3749"/>
          </w:tcPr>
          <w:p>
            <w:r>
              <w:rPr>
                <w:color w:val="FFFFFF"/>
              </w:rPr>
              <w:t>Classification</w:t>
            </w:r>
          </w:p>
        </w:tc>
        <w:tc>
          <w:tcPr>
            <w:tcW w:type="dxa" w:w="5112"/>
          </w:tcPr>
          <w:p>
            <w:r>
              <w:t>Confidential — client proposal</w:t>
            </w:r>
          </w:p>
        </w:tc>
      </w:tr>
    </w:tbl>
    <w:p>
      <w:r>
        <w:br w:type="page"/>
      </w:r>
    </w:p>
    <w:p>
      <w:pPr>
        <w:pStyle w:val="Heading1"/>
      </w:pPr>
      <w:r>
        <w:t>1. Product vision</w:t>
      </w:r>
    </w:p>
    <w:p>
      <w:r>
        <w:t>Provide utility operators with a trusted portfolio-level operating system that converts heterogeneous evidence into safe, economically optimal and explainable actions across renewable generation, storage, flexible demand, grid and market interfaces.</w:t>
      </w:r>
    </w:p>
    <w:p>
      <w:pPr>
        <w:pStyle w:val="Heading1"/>
      </w:pPr>
      <w:r>
        <w:t>2. Product principles</w:t>
      </w:r>
    </w:p>
    <w:p>
      <w:pPr>
        <w:pStyle w:val="ListBullet"/>
      </w:pPr>
      <w:r>
        <w:t>Deterministic safety around probabilistic intelligence.</w:t>
      </w:r>
    </w:p>
    <w:p>
      <w:pPr>
        <w:pStyle w:val="ListBullet"/>
      </w:pPr>
      <w:r>
        <w:t>Progressive autonomy, never forced autonomy.</w:t>
      </w:r>
    </w:p>
    <w:p>
      <w:pPr>
        <w:pStyle w:val="ListBullet"/>
      </w:pPr>
      <w:r>
        <w:t>Optimisation is the decision core; agents coordinate evidence and workflows rather than improvising control commands.</w:t>
      </w:r>
    </w:p>
    <w:p>
      <w:pPr>
        <w:pStyle w:val="ListBullet"/>
      </w:pPr>
      <w:r>
        <w:t>Cloud-neutral services and open interfaces; AWS is the first implementation.</w:t>
      </w:r>
    </w:p>
    <w:p>
      <w:pPr>
        <w:pStyle w:val="ListBullet"/>
      </w:pPr>
      <w:r>
        <w:t>Evidence-first explainability with complete replayability.</w:t>
      </w:r>
    </w:p>
    <w:p>
      <w:pPr>
        <w:pStyle w:val="ListBullet"/>
      </w:pPr>
      <w:r>
        <w:t>Graceful degradation and edge survivability.</w:t>
      </w:r>
    </w:p>
    <w:p>
      <w:pPr>
        <w:pStyle w:val="ListBullet"/>
      </w:pPr>
      <w:r>
        <w:t>Tenant isolation and privacy by design.</w:t>
      </w:r>
    </w:p>
    <w:p>
      <w:pPr>
        <w:pStyle w:val="Heading1"/>
      </w:pPr>
      <w:r>
        <w:t>3. Personas and journeys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Persona</w:t>
            </w:r>
          </w:p>
        </w:tc>
        <w:tc>
          <w:tcPr>
            <w:tcW w:type="dxa" w:w="5112"/>
            <w:shd w:fill="0D3749"/>
            <w:vAlign w:val="center"/>
          </w:tcPr>
          <w:p>
            <w:r>
              <w:rPr>
                <w:color w:val="FFFFFF"/>
              </w:rPr>
              <w:t>Key journey</w:t>
            </w:r>
          </w:p>
        </w:tc>
      </w:tr>
      <w:tr>
        <w:tc>
          <w:tcPr>
            <w:tcW w:type="dxa" w:w="5112"/>
            <w:vAlign w:val="center"/>
          </w:tcPr>
          <w:p>
            <w:r>
              <w:t>Operator</w:t>
            </w:r>
          </w:p>
        </w:tc>
        <w:tc>
          <w:tcPr>
            <w:tcW w:type="dxa" w:w="5112"/>
            <w:vAlign w:val="center"/>
          </w:tcPr>
          <w:p>
            <w:r>
              <w:t>Receives event → reviews system state and recommendation → inspects constraints/trade-offs → approves/rejects/edits → monitors acknowledgement.</w:t>
            </w:r>
          </w:p>
        </w:tc>
      </w:tr>
      <w:tr>
        <w:tc>
          <w:tcPr>
            <w:tcW w:type="dxa" w:w="5112"/>
            <w:vAlign w:val="center"/>
            <w:shd w:fill="EAF3F4"/>
          </w:tcPr>
          <w:p>
            <w:r>
              <w:t>Portfolio manager</w:t>
            </w:r>
          </w:p>
        </w:tc>
        <w:tc>
          <w:tcPr>
            <w:tcW w:type="dxa" w:w="5112"/>
            <w:vAlign w:val="center"/>
            <w:shd w:fill="EAF3F4"/>
          </w:tcPr>
          <w:p>
            <w:r>
              <w:t>Configures objective weights and risk budget → compares horizons/scenarios → tracks realised value.</w:t>
            </w:r>
          </w:p>
        </w:tc>
      </w:tr>
      <w:tr>
        <w:tc>
          <w:tcPr>
            <w:tcW w:type="dxa" w:w="5112"/>
            <w:vAlign w:val="center"/>
          </w:tcPr>
          <w:p>
            <w:r>
              <w:t>OT engineer</w:t>
            </w:r>
          </w:p>
        </w:tc>
        <w:tc>
          <w:tcPr>
            <w:tcW w:type="dxa" w:w="5112"/>
            <w:vAlign w:val="center"/>
          </w:tcPr>
          <w:p>
            <w:r>
              <w:t>Defines command envelopes and interlocks → tests adapter → reviews control-path health.</w:t>
            </w:r>
          </w:p>
        </w:tc>
      </w:tr>
      <w:tr>
        <w:tc>
          <w:tcPr>
            <w:tcW w:type="dxa" w:w="5112"/>
            <w:vAlign w:val="center"/>
            <w:shd w:fill="EAF3F4"/>
          </w:tcPr>
          <w:p>
            <w:r>
              <w:t>Data scientist</w:t>
            </w:r>
          </w:p>
        </w:tc>
        <w:tc>
          <w:tcPr>
            <w:tcW w:type="dxa" w:w="5112"/>
            <w:vAlign w:val="center"/>
            <w:shd w:fill="EAF3F4"/>
          </w:tcPr>
          <w:p>
            <w:r>
              <w:t>Registers model → back-tests → deploys champion/challenger → monitors drift.</w:t>
            </w:r>
          </w:p>
        </w:tc>
      </w:tr>
      <w:tr>
        <w:tc>
          <w:tcPr>
            <w:tcW w:type="dxa" w:w="5112"/>
            <w:vAlign w:val="center"/>
          </w:tcPr>
          <w:p>
            <w:r>
              <w:t>Compliance auditor</w:t>
            </w:r>
          </w:p>
        </w:tc>
        <w:tc>
          <w:tcPr>
            <w:tcW w:type="dxa" w:w="5112"/>
            <w:vAlign w:val="center"/>
          </w:tcPr>
          <w:p>
            <w:r>
              <w:t>Searches decision ID → exports immutable evidence package.</w:t>
            </w:r>
          </w:p>
        </w:tc>
      </w:tr>
      <w:tr>
        <w:tc>
          <w:tcPr>
            <w:tcW w:type="dxa" w:w="5112"/>
            <w:vAlign w:val="center"/>
            <w:shd w:fill="EAF3F4"/>
          </w:tcPr>
          <w:p>
            <w:r>
              <w:t>Tenant administrator</w:t>
            </w:r>
          </w:p>
        </w:tc>
        <w:tc>
          <w:tcPr>
            <w:tcW w:type="dxa" w:w="5112"/>
            <w:vAlign w:val="center"/>
            <w:shd w:fill="EAF3F4"/>
          </w:tcPr>
          <w:p>
            <w:r>
              <w:t>Onboards sites, integrations, identities, policies and retention settings.</w:t>
            </w:r>
          </w:p>
        </w:tc>
      </w:tr>
    </w:tbl>
    <w:p>
      <w:pPr>
        <w:pStyle w:val="Heading1"/>
      </w:pPr>
      <w:r>
        <w:t>4. Epics and product requirements</w:t>
      </w:r>
    </w:p>
    <w:p>
      <w:pPr>
        <w:pStyle w:val="Heading2"/>
      </w:pPr>
      <w:r>
        <w:t>E1 Data onboarding</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PR-001</w:t>
            </w:r>
          </w:p>
        </w:tc>
        <w:tc>
          <w:tcPr>
            <w:tcW w:type="dxa" w:w="5112"/>
            <w:vAlign w:val="center"/>
          </w:tcPr>
          <w:p>
            <w:r>
              <w:t>Upload one or more files through UI/API or ingest from an allow-listed path.</w:t>
            </w:r>
          </w:p>
        </w:tc>
      </w:tr>
      <w:tr>
        <w:tc>
          <w:tcPr>
            <w:tcW w:type="dxa" w:w="5112"/>
            <w:vAlign w:val="center"/>
            <w:shd w:fill="EAF3F4"/>
          </w:tcPr>
          <w:p>
            <w:r>
              <w:t>PR-002</w:t>
            </w:r>
          </w:p>
        </w:tc>
        <w:tc>
          <w:tcPr>
            <w:tcW w:type="dxa" w:w="5112"/>
            <w:vAlign w:val="center"/>
            <w:shd w:fill="EAF3F4"/>
          </w:tcPr>
          <w:p>
            <w:r>
              <w:t>Connect to relational/time-series databases using a managed connector and secrets vault.</w:t>
            </w:r>
          </w:p>
        </w:tc>
      </w:tr>
      <w:tr>
        <w:tc>
          <w:tcPr>
            <w:tcW w:type="dxa" w:w="5112"/>
            <w:vAlign w:val="center"/>
          </w:tcPr>
          <w:p>
            <w:r>
              <w:t>PR-003</w:t>
            </w:r>
          </w:p>
        </w:tc>
        <w:tc>
          <w:tcPr>
            <w:tcW w:type="dxa" w:w="5112"/>
            <w:vAlign w:val="center"/>
          </w:tcPr>
          <w:p>
            <w:r>
              <w:t>Support OPC UA, MQTT, Kafka, REST and configurable IEC gateway adapters.</w:t>
            </w:r>
          </w:p>
        </w:tc>
      </w:tr>
      <w:tr>
        <w:tc>
          <w:tcPr>
            <w:tcW w:type="dxa" w:w="5112"/>
            <w:vAlign w:val="center"/>
            <w:shd w:fill="EAF3F4"/>
          </w:tcPr>
          <w:p>
            <w:r>
              <w:t>PR-004</w:t>
            </w:r>
          </w:p>
        </w:tc>
        <w:tc>
          <w:tcPr>
            <w:tcW w:type="dxa" w:w="5112"/>
            <w:vAlign w:val="center"/>
            <w:shd w:fill="EAF3F4"/>
          </w:tcPr>
          <w:p>
            <w:r>
              <w:t>Detect schema, units, timestamps, duplicates, gaps, outliers and PII; route exceptions to quarantine.</w:t>
            </w:r>
          </w:p>
        </w:tc>
      </w:tr>
      <w:tr>
        <w:tc>
          <w:tcPr>
            <w:tcW w:type="dxa" w:w="5112"/>
            <w:vAlign w:val="center"/>
          </w:tcPr>
          <w:p>
            <w:r>
              <w:t>PR-005</w:t>
            </w:r>
          </w:p>
        </w:tc>
        <w:tc>
          <w:tcPr>
            <w:tcW w:type="dxa" w:w="5112"/>
            <w:vAlign w:val="center"/>
          </w:tcPr>
          <w:p>
            <w:r>
              <w:t>Maintain lineage from source record to forecast, scenario, decision and command.</w:t>
            </w:r>
          </w:p>
        </w:tc>
      </w:tr>
    </w:tbl>
    <w:p>
      <w:pPr>
        <w:pStyle w:val="Heading2"/>
      </w:pPr>
      <w:r>
        <w:t>E2 Digital twin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PR-010</w:t>
            </w:r>
          </w:p>
        </w:tc>
        <w:tc>
          <w:tcPr>
            <w:tcW w:type="dxa" w:w="5112"/>
            <w:vAlign w:val="center"/>
          </w:tcPr>
          <w:p>
            <w:r>
              <w:t>Represent portfolio, sites, assets, meters, grid nodes, limits, contracts and consumers.</w:t>
            </w:r>
          </w:p>
        </w:tc>
      </w:tr>
      <w:tr>
        <w:tc>
          <w:tcPr>
            <w:tcW w:type="dxa" w:w="5112"/>
            <w:vAlign w:val="center"/>
            <w:shd w:fill="EAF3F4"/>
          </w:tcPr>
          <w:p>
            <w:r>
              <w:t>PR-011</w:t>
            </w:r>
          </w:p>
        </w:tc>
        <w:tc>
          <w:tcPr>
            <w:tcW w:type="dxa" w:w="5112"/>
            <w:vAlign w:val="center"/>
            <w:shd w:fill="EAF3F4"/>
          </w:tcPr>
          <w:p>
            <w:r>
              <w:t>Version technical limits and effective dates.</w:t>
            </w:r>
          </w:p>
        </w:tc>
      </w:tr>
      <w:tr>
        <w:tc>
          <w:tcPr>
            <w:tcW w:type="dxa" w:w="5112"/>
            <w:vAlign w:val="center"/>
          </w:tcPr>
          <w:p>
            <w:r>
              <w:t>PR-012</w:t>
            </w:r>
          </w:p>
        </w:tc>
        <w:tc>
          <w:tcPr>
            <w:tcW w:type="dxa" w:w="5112"/>
            <w:vAlign w:val="center"/>
          </w:tcPr>
          <w:p>
            <w:r>
              <w:t>Reconcile telemetry and calculated states; expose confidence and staleness.</w:t>
            </w:r>
          </w:p>
        </w:tc>
      </w:tr>
    </w:tbl>
    <w:p>
      <w:pPr>
        <w:pStyle w:val="Heading2"/>
      </w:pPr>
      <w:r>
        <w:t>E3 Forecasts and scenarios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PR-020</w:t>
            </w:r>
          </w:p>
        </w:tc>
        <w:tc>
          <w:tcPr>
            <w:tcW w:type="dxa" w:w="5112"/>
            <w:vAlign w:val="center"/>
          </w:tcPr>
          <w:p>
            <w:r>
              <w:t>Generate deterministic and probabilistic solar, wind, demand, price and asset-availability forecasts.</w:t>
            </w:r>
          </w:p>
        </w:tc>
      </w:tr>
      <w:tr>
        <w:tc>
          <w:tcPr>
            <w:tcW w:type="dxa" w:w="5112"/>
            <w:vAlign w:val="center"/>
            <w:shd w:fill="EAF3F4"/>
          </w:tcPr>
          <w:p>
            <w:r>
              <w:t>PR-021</w:t>
            </w:r>
          </w:p>
        </w:tc>
        <w:tc>
          <w:tcPr>
            <w:tcW w:type="dxa" w:w="5112"/>
            <w:vAlign w:val="center"/>
            <w:shd w:fill="EAF3F4"/>
          </w:tcPr>
          <w:p>
            <w:r>
              <w:t>Allow 12h, 24h, 48h and 7d rolling horizons with configurable time resolution.</w:t>
            </w:r>
          </w:p>
        </w:tc>
      </w:tr>
      <w:tr>
        <w:tc>
          <w:tcPr>
            <w:tcW w:type="dxa" w:w="5112"/>
            <w:vAlign w:val="center"/>
          </w:tcPr>
          <w:p>
            <w:r>
              <w:t>PR-022</w:t>
            </w:r>
          </w:p>
        </w:tc>
        <w:tc>
          <w:tcPr>
            <w:tcW w:type="dxa" w:w="5112"/>
            <w:vAlign w:val="center"/>
          </w:tcPr>
          <w:p>
            <w:r>
              <w:t>Run Monte Carlo, N-1 and named scenarios such as cloud drop, wind surge, price spike, battery outage, line congestion and demand shock.</w:t>
            </w:r>
          </w:p>
        </w:tc>
      </w:tr>
      <w:tr>
        <w:tc>
          <w:tcPr>
            <w:tcW w:type="dxa" w:w="5112"/>
            <w:vAlign w:val="center"/>
            <w:shd w:fill="EAF3F4"/>
          </w:tcPr>
          <w:p>
            <w:r>
              <w:t>PR-023</w:t>
            </w:r>
          </w:p>
        </w:tc>
        <w:tc>
          <w:tcPr>
            <w:tcW w:type="dxa" w:w="5112"/>
            <w:vAlign w:val="center"/>
            <w:shd w:fill="EAF3F4"/>
          </w:tcPr>
          <w:p>
            <w:r>
              <w:t>Compare scenario plans and expected/CVaR outcomes.</w:t>
            </w:r>
          </w:p>
        </w:tc>
      </w:tr>
    </w:tbl>
    <w:p>
      <w:pPr>
        <w:pStyle w:val="Heading2"/>
      </w:pPr>
      <w:r>
        <w:t>E4 Decision optimisation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PR-030</w:t>
            </w:r>
          </w:p>
        </w:tc>
        <w:tc>
          <w:tcPr>
            <w:tcW w:type="dxa" w:w="5112"/>
            <w:vAlign w:val="center"/>
          </w:tcPr>
          <w:p>
            <w:r>
              <w:t>Optimise battery charge/discharge/reserve, grid buy/sell, renewable curtailment, demand response and maintenance recommendations.</w:t>
            </w:r>
          </w:p>
        </w:tc>
      </w:tr>
      <w:tr>
        <w:tc>
          <w:tcPr>
            <w:tcW w:type="dxa" w:w="5112"/>
            <w:vAlign w:val="center"/>
            <w:shd w:fill="EAF3F4"/>
          </w:tcPr>
          <w:p>
            <w:r>
              <w:t>PR-031</w:t>
            </w:r>
          </w:p>
        </w:tc>
        <w:tc>
          <w:tcPr>
            <w:tcW w:type="dxa" w:w="5112"/>
            <w:vAlign w:val="center"/>
            <w:shd w:fill="EAF3F4"/>
          </w:tcPr>
          <w:p>
            <w:r>
              <w:t>Support weighted-sum, lexicographic and ε-constraint objective policies.</w:t>
            </w:r>
          </w:p>
        </w:tc>
      </w:tr>
      <w:tr>
        <w:tc>
          <w:tcPr>
            <w:tcW w:type="dxa" w:w="5112"/>
            <w:vAlign w:val="center"/>
          </w:tcPr>
          <w:p>
            <w:r>
              <w:t>PR-032</w:t>
            </w:r>
          </w:p>
        </w:tc>
        <w:tc>
          <w:tcPr>
            <w:tcW w:type="dxa" w:w="5112"/>
            <w:vAlign w:val="center"/>
          </w:tcPr>
          <w:p>
            <w:r>
              <w:t>Enforce power balance, SoC, ramp, efficiency, network, market, contract, reserve and availability constraints.</w:t>
            </w:r>
          </w:p>
        </w:tc>
      </w:tr>
      <w:tr>
        <w:tc>
          <w:tcPr>
            <w:tcW w:type="dxa" w:w="5112"/>
            <w:vAlign w:val="center"/>
            <w:shd w:fill="EAF3F4"/>
          </w:tcPr>
          <w:p>
            <w:r>
              <w:t>PR-033</w:t>
            </w:r>
          </w:p>
        </w:tc>
        <w:tc>
          <w:tcPr>
            <w:tcW w:type="dxa" w:w="5112"/>
            <w:vAlign w:val="center"/>
            <w:shd w:fill="EAF3F4"/>
          </w:tcPr>
          <w:p>
            <w:r>
              <w:t>Return plan, alternatives, binding constraints, confidence and expected value.</w:t>
            </w:r>
          </w:p>
        </w:tc>
      </w:tr>
      <w:tr>
        <w:tc>
          <w:tcPr>
            <w:tcW w:type="dxa" w:w="5112"/>
            <w:vAlign w:val="center"/>
          </w:tcPr>
          <w:p>
            <w:r>
              <w:t>PR-034</w:t>
            </w:r>
          </w:p>
        </w:tc>
        <w:tc>
          <w:tcPr>
            <w:tcW w:type="dxa" w:w="5112"/>
            <w:vAlign w:val="center"/>
          </w:tcPr>
          <w:p>
            <w:r>
              <w:t>Provide deterministic fallback plans when optimiser or forecast service is unavailable.</w:t>
            </w:r>
          </w:p>
        </w:tc>
      </w:tr>
    </w:tbl>
    <w:p>
      <w:pPr>
        <w:pStyle w:val="Heading2"/>
      </w:pPr>
      <w:r>
        <w:t>E5 Safe execution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PR-040</w:t>
            </w:r>
          </w:p>
        </w:tc>
        <w:tc>
          <w:tcPr>
            <w:tcW w:type="dxa" w:w="5112"/>
            <w:vAlign w:val="center"/>
          </w:tcPr>
          <w:p>
            <w:r>
              <w:t>Support Observe, Recommend, Approval and Autonomous modes at tenant/site/asset/action levels.</w:t>
            </w:r>
          </w:p>
        </w:tc>
      </w:tr>
      <w:tr>
        <w:tc>
          <w:tcPr>
            <w:tcW w:type="dxa" w:w="5112"/>
            <w:vAlign w:val="center"/>
            <w:shd w:fill="EAF3F4"/>
          </w:tcPr>
          <w:p>
            <w:r>
              <w:t>PR-041</w:t>
            </w:r>
          </w:p>
        </w:tc>
        <w:tc>
          <w:tcPr>
            <w:tcW w:type="dxa" w:w="5112"/>
            <w:vAlign w:val="center"/>
            <w:shd w:fill="EAF3F4"/>
          </w:tcPr>
          <w:p>
            <w:r>
              <w:t>Require configured approval rules including four-eyes approval for high-risk actions.</w:t>
            </w:r>
          </w:p>
        </w:tc>
      </w:tr>
      <w:tr>
        <w:tc>
          <w:tcPr>
            <w:tcW w:type="dxa" w:w="5112"/>
            <w:vAlign w:val="center"/>
          </w:tcPr>
          <w:p>
            <w:r>
              <w:t>PR-042</w:t>
            </w:r>
          </w:p>
        </w:tc>
        <w:tc>
          <w:tcPr>
            <w:tcW w:type="dxa" w:w="5112"/>
            <w:vAlign w:val="center"/>
          </w:tcPr>
          <w:p>
            <w:r>
              <w:t>Validate commands against current telemetry, command envelope, rate limits, interlocks and expiry.</w:t>
            </w:r>
          </w:p>
        </w:tc>
      </w:tr>
      <w:tr>
        <w:tc>
          <w:tcPr>
            <w:tcW w:type="dxa" w:w="5112"/>
            <w:vAlign w:val="center"/>
            <w:shd w:fill="EAF3F4"/>
          </w:tcPr>
          <w:p>
            <w:r>
              <w:t>PR-043</w:t>
            </w:r>
          </w:p>
        </w:tc>
        <w:tc>
          <w:tcPr>
            <w:tcW w:type="dxa" w:w="5112"/>
            <w:vAlign w:val="center"/>
            <w:shd w:fill="EAF3F4"/>
          </w:tcPr>
          <w:p>
            <w:r>
              <w:t>Use prepare/commit/acknowledge workflow and record command outcome.</w:t>
            </w:r>
          </w:p>
        </w:tc>
      </w:tr>
      <w:tr>
        <w:tc>
          <w:tcPr>
            <w:tcW w:type="dxa" w:w="5112"/>
            <w:vAlign w:val="center"/>
          </w:tcPr>
          <w:p>
            <w:r>
              <w:t>PR-044</w:t>
            </w:r>
          </w:p>
        </w:tc>
        <w:tc>
          <w:tcPr>
            <w:tcW w:type="dxa" w:w="5112"/>
            <w:vAlign w:val="center"/>
          </w:tcPr>
          <w:p>
            <w:r>
              <w:t>Provide emergency stop, pause, rollback where supported and local-safe-state behaviour.</w:t>
            </w:r>
          </w:p>
        </w:tc>
      </w:tr>
    </w:tbl>
    <w:p>
      <w:pPr>
        <w:pStyle w:val="Heading2"/>
      </w:pPr>
      <w:r>
        <w:t>E6 Dashboard and governance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PR-050</w:t>
            </w:r>
          </w:p>
        </w:tc>
        <w:tc>
          <w:tcPr>
            <w:tcW w:type="dxa" w:w="5112"/>
            <w:vAlign w:val="center"/>
          </w:tcPr>
          <w:p>
            <w:r>
              <w:t>Show portfolio energy flow, asset status, forecasts, prices, constraints and active plan.</w:t>
            </w:r>
          </w:p>
        </w:tc>
      </w:tr>
      <w:tr>
        <w:tc>
          <w:tcPr>
            <w:tcW w:type="dxa" w:w="5112"/>
            <w:vAlign w:val="center"/>
            <w:shd w:fill="EAF3F4"/>
          </w:tcPr>
          <w:p>
            <w:r>
              <w:t>PR-051</w:t>
            </w:r>
          </w:p>
        </w:tc>
        <w:tc>
          <w:tcPr>
            <w:tcW w:type="dxa" w:w="5112"/>
            <w:vAlign w:val="center"/>
            <w:shd w:fill="EAF3F4"/>
          </w:tcPr>
          <w:p>
            <w:r>
              <w:t>Provide approval inbox, event timeline, action controls and explainability panel.</w:t>
            </w:r>
          </w:p>
        </w:tc>
      </w:tr>
      <w:tr>
        <w:tc>
          <w:tcPr>
            <w:tcW w:type="dxa" w:w="5112"/>
            <w:vAlign w:val="center"/>
          </w:tcPr>
          <w:p>
            <w:r>
              <w:t>PR-052</w:t>
            </w:r>
          </w:p>
        </w:tc>
        <w:tc>
          <w:tcPr>
            <w:tcW w:type="dxa" w:w="5112"/>
            <w:vAlign w:val="center"/>
          </w:tcPr>
          <w:p>
            <w:r>
              <w:t>Show economic, sustainability, reliability, model, agent, security and autonomy KPIs.</w:t>
            </w:r>
          </w:p>
        </w:tc>
      </w:tr>
      <w:tr>
        <w:tc>
          <w:tcPr>
            <w:tcW w:type="dxa" w:w="5112"/>
            <w:vAlign w:val="center"/>
            <w:shd w:fill="EAF3F4"/>
          </w:tcPr>
          <w:p>
            <w:r>
              <w:t>PR-053</w:t>
            </w:r>
          </w:p>
        </w:tc>
        <w:tc>
          <w:tcPr>
            <w:tcW w:type="dxa" w:w="5112"/>
            <w:vAlign w:val="center"/>
            <w:shd w:fill="EAF3F4"/>
          </w:tcPr>
          <w:p>
            <w:r>
              <w:t>Permit replay of any decision and export of an evidence pack.</w:t>
            </w:r>
          </w:p>
        </w:tc>
      </w:tr>
      <w:tr>
        <w:tc>
          <w:tcPr>
            <w:tcW w:type="dxa" w:w="5112"/>
            <w:vAlign w:val="center"/>
          </w:tcPr>
          <w:p>
            <w:r>
              <w:t>PR-054</w:t>
            </w:r>
          </w:p>
        </w:tc>
        <w:tc>
          <w:tcPr>
            <w:tcW w:type="dxa" w:w="5112"/>
            <w:vAlign w:val="center"/>
          </w:tcPr>
          <w:p>
            <w:r>
              <w:t>Provide mobile-responsive but desktop-first control-room UI.</w:t>
            </w:r>
          </w:p>
        </w:tc>
      </w:tr>
    </w:tbl>
    <w:p>
      <w:pPr>
        <w:pStyle w:val="Heading2"/>
      </w:pPr>
      <w:r>
        <w:t>E7 Privacy and security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ID</w:t>
            </w:r>
          </w:p>
        </w:tc>
        <w:tc>
          <w:tcPr>
            <w:tcW w:type="dxa" w:w="5112"/>
            <w:shd w:fill="0D3749"/>
            <w:vAlign w:val="center"/>
          </w:tcPr>
          <w:p>
            <w:r>
              <w:rPr>
                <w:color w:val="FFFFFF"/>
              </w:rPr>
              <w:t>Requirement</w:t>
            </w:r>
          </w:p>
        </w:tc>
      </w:tr>
      <w:tr>
        <w:tc>
          <w:tcPr>
            <w:tcW w:type="dxa" w:w="5112"/>
            <w:vAlign w:val="center"/>
          </w:tcPr>
          <w:p>
            <w:r>
              <w:t>PR-060</w:t>
            </w:r>
          </w:p>
        </w:tc>
        <w:tc>
          <w:tcPr>
            <w:tcW w:type="dxa" w:w="5112"/>
            <w:vAlign w:val="center"/>
          </w:tcPr>
          <w:p>
            <w:r>
              <w:t>Discover and redact/pseudonymise PII in structured and unstructured inputs.</w:t>
            </w:r>
          </w:p>
        </w:tc>
      </w:tr>
      <w:tr>
        <w:tc>
          <w:tcPr>
            <w:tcW w:type="dxa" w:w="5112"/>
            <w:vAlign w:val="center"/>
            <w:shd w:fill="EAF3F4"/>
          </w:tcPr>
          <w:p>
            <w:r>
              <w:t>PR-061</w:t>
            </w:r>
          </w:p>
        </w:tc>
        <w:tc>
          <w:tcPr>
            <w:tcW w:type="dxa" w:w="5112"/>
            <w:vAlign w:val="center"/>
            <w:shd w:fill="EAF3F4"/>
          </w:tcPr>
          <w:p>
            <w:r>
              <w:t>Apply tenant-specific retention, residency, legal basis and data-subject request workflows.</w:t>
            </w:r>
          </w:p>
        </w:tc>
      </w:tr>
      <w:tr>
        <w:tc>
          <w:tcPr>
            <w:tcW w:type="dxa" w:w="5112"/>
            <w:vAlign w:val="center"/>
          </w:tcPr>
          <w:p>
            <w:r>
              <w:t>PR-062</w:t>
            </w:r>
          </w:p>
        </w:tc>
        <w:tc>
          <w:tcPr>
            <w:tcW w:type="dxa" w:w="5112"/>
            <w:vAlign w:val="center"/>
          </w:tcPr>
          <w:p>
            <w:r>
              <w:t>Use SSO/MFA, RBAC/ABAC, least privilege, encryption and tamper-evident audit.</w:t>
            </w:r>
          </w:p>
        </w:tc>
      </w:tr>
      <w:tr>
        <w:tc>
          <w:tcPr>
            <w:tcW w:type="dxa" w:w="5112"/>
            <w:vAlign w:val="center"/>
            <w:shd w:fill="EAF3F4"/>
          </w:tcPr>
          <w:p>
            <w:r>
              <w:t>PR-063</w:t>
            </w:r>
          </w:p>
        </w:tc>
        <w:tc>
          <w:tcPr>
            <w:tcW w:type="dxa" w:w="5112"/>
            <w:vAlign w:val="center"/>
            <w:shd w:fill="EAF3F4"/>
          </w:tcPr>
          <w:p>
            <w:r>
              <w:t>Defend agent/tool workflows against prompt injection, unauthorised tools, data exfiltration and cross-tenant retrieval.</w:t>
            </w:r>
          </w:p>
        </w:tc>
      </w:tr>
    </w:tbl>
    <w:p>
      <w:pPr>
        <w:pStyle w:val="Heading1"/>
      </w:pPr>
      <w:r>
        <w:t>5. Dashboard product specification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Page</w:t>
            </w:r>
          </w:p>
        </w:tc>
        <w:tc>
          <w:tcPr>
            <w:tcW w:type="dxa" w:w="5112"/>
            <w:shd w:fill="0D3749"/>
            <w:vAlign w:val="center"/>
          </w:tcPr>
          <w:p>
            <w:r>
              <w:rPr>
                <w:color w:val="FFFFFF"/>
              </w:rPr>
              <w:t>Required content and actions</w:t>
            </w:r>
          </w:p>
        </w:tc>
      </w:tr>
      <w:tr>
        <w:tc>
          <w:tcPr>
            <w:tcW w:type="dxa" w:w="5112"/>
            <w:vAlign w:val="center"/>
          </w:tcPr>
          <w:p>
            <w:r>
              <w:t>Portfolio cockpit</w:t>
            </w:r>
          </w:p>
        </w:tc>
        <w:tc>
          <w:tcPr>
            <w:tcW w:type="dxa" w:w="5112"/>
            <w:vAlign w:val="center"/>
          </w:tcPr>
          <w:p>
            <w:r>
              <w:t>Live Sankey/energy flow, supply-demand balance, SoC, import/export, renewable mix, price, emissions, active alerts and next action.</w:t>
            </w:r>
          </w:p>
        </w:tc>
      </w:tr>
      <w:tr>
        <w:tc>
          <w:tcPr>
            <w:tcW w:type="dxa" w:w="5112"/>
            <w:vAlign w:val="center"/>
            <w:shd w:fill="EAF3F4"/>
          </w:tcPr>
          <w:p>
            <w:r>
              <w:t>Decision workspace</w:t>
            </w:r>
          </w:p>
        </w:tc>
        <w:tc>
          <w:tcPr>
            <w:tcW w:type="dxa" w:w="5112"/>
            <w:vAlign w:val="center"/>
            <w:shd w:fill="EAF3F4"/>
          </w:tcPr>
          <w:p>
            <w:r>
              <w:t>Recommended plan, objective scorecard, binding constraints, forecast uncertainty, alternative actions, approve/reject/edit/escalate.</w:t>
            </w:r>
          </w:p>
        </w:tc>
      </w:tr>
      <w:tr>
        <w:tc>
          <w:tcPr>
            <w:tcW w:type="dxa" w:w="5112"/>
            <w:vAlign w:val="center"/>
          </w:tcPr>
          <w:p>
            <w:r>
              <w:t>Scenario lab</w:t>
            </w:r>
          </w:p>
        </w:tc>
        <w:tc>
          <w:tcPr>
            <w:tcW w:type="dxa" w:w="5112"/>
            <w:vAlign w:val="center"/>
          </w:tcPr>
          <w:p>
            <w:r>
              <w:t>Horizon selector, scenario variables, probability, run/compare, expected cost/emissions/reliability and downloadable results.</w:t>
            </w:r>
          </w:p>
        </w:tc>
      </w:tr>
      <w:tr>
        <w:tc>
          <w:tcPr>
            <w:tcW w:type="dxa" w:w="5112"/>
            <w:vAlign w:val="center"/>
            <w:shd w:fill="EAF3F4"/>
          </w:tcPr>
          <w:p>
            <w:r>
              <w:t>Asset detail</w:t>
            </w:r>
          </w:p>
        </w:tc>
        <w:tc>
          <w:tcPr>
            <w:tcW w:type="dxa" w:w="5112"/>
            <w:vAlign w:val="center"/>
            <w:shd w:fill="EAF3F4"/>
          </w:tcPr>
          <w:p>
            <w:r>
              <w:t>Telemetry, forecast, capability curve, health, command history, alarms, maintenance and autonomy policy.</w:t>
            </w:r>
          </w:p>
        </w:tc>
      </w:tr>
      <w:tr>
        <w:tc>
          <w:tcPr>
            <w:tcW w:type="dxa" w:w="5112"/>
            <w:vAlign w:val="center"/>
          </w:tcPr>
          <w:p>
            <w:r>
              <w:t>Market view</w:t>
            </w:r>
          </w:p>
        </w:tc>
        <w:tc>
          <w:tcPr>
            <w:tcW w:type="dxa" w:w="5112"/>
            <w:vAlign w:val="center"/>
          </w:tcPr>
          <w:p>
            <w:r>
              <w:t>Day-ahead/intraday/balancing prices, nominations, exposure, positions and settlement mapping.</w:t>
            </w:r>
          </w:p>
        </w:tc>
      </w:tr>
      <w:tr>
        <w:tc>
          <w:tcPr>
            <w:tcW w:type="dxa" w:w="5112"/>
            <w:vAlign w:val="center"/>
            <w:shd w:fill="EAF3F4"/>
          </w:tcPr>
          <w:p>
            <w:r>
              <w:t>Governance</w:t>
            </w:r>
          </w:p>
        </w:tc>
        <w:tc>
          <w:tcPr>
            <w:tcW w:type="dxa" w:w="5112"/>
            <w:vAlign w:val="center"/>
            <w:shd w:fill="EAF3F4"/>
          </w:tcPr>
          <w:p>
            <w:r>
              <w:t>Autonomy mode, policy versions, approvals, overrides, model/agent versions, data quality and audit search.</w:t>
            </w:r>
          </w:p>
        </w:tc>
      </w:tr>
      <w:tr>
        <w:tc>
          <w:tcPr>
            <w:tcW w:type="dxa" w:w="5112"/>
            <w:vAlign w:val="center"/>
          </w:tcPr>
          <w:p>
            <w:r>
              <w:t>Tenant administration</w:t>
            </w:r>
          </w:p>
        </w:tc>
        <w:tc>
          <w:tcPr>
            <w:tcW w:type="dxa" w:w="5112"/>
            <w:vAlign w:val="center"/>
          </w:tcPr>
          <w:p>
            <w:r>
              <w:t>Sites, users, roles, integrations, secrets references, data policies, objective profiles and deployment settings.</w:t>
            </w:r>
          </w:p>
        </w:tc>
      </w:tr>
    </w:tbl>
    <w:p>
      <w:pPr>
        <w:pStyle w:val="Heading1"/>
      </w:pPr>
      <w:r>
        <w:t>6. KPI catalogue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Category</w:t>
            </w:r>
          </w:p>
        </w:tc>
        <w:tc>
          <w:tcPr>
            <w:tcW w:type="dxa" w:w="5112"/>
            <w:shd w:fill="0D3749"/>
            <w:vAlign w:val="center"/>
          </w:tcPr>
          <w:p>
            <w:r>
              <w:rPr>
                <w:color w:val="FFFFFF"/>
              </w:rPr>
              <w:t>KPIs</w:t>
            </w:r>
          </w:p>
        </w:tc>
      </w:tr>
      <w:tr>
        <w:tc>
          <w:tcPr>
            <w:tcW w:type="dxa" w:w="5112"/>
            <w:vAlign w:val="center"/>
          </w:tcPr>
          <w:p>
            <w:r>
              <w:t>Economic</w:t>
            </w:r>
          </w:p>
        </w:tc>
        <w:tc>
          <w:tcPr>
            <w:tcW w:type="dxa" w:w="5112"/>
            <w:vAlign w:val="center"/>
          </w:tcPr>
          <w:p>
            <w:r>
              <w:t>Total energy cost, realised savings, market revenue, imbalance cost, demand-response revenue, forecast value-add.</w:t>
            </w:r>
          </w:p>
        </w:tc>
      </w:tr>
      <w:tr>
        <w:tc>
          <w:tcPr>
            <w:tcW w:type="dxa" w:w="5112"/>
            <w:vAlign w:val="center"/>
            <w:shd w:fill="EAF3F4"/>
          </w:tcPr>
          <w:p>
            <w:r>
              <w:t>Sustainability</w:t>
            </w:r>
          </w:p>
        </w:tc>
        <w:tc>
          <w:tcPr>
            <w:tcW w:type="dxa" w:w="5112"/>
            <w:vAlign w:val="center"/>
            <w:shd w:fill="EAF3F4"/>
          </w:tcPr>
          <w:p>
            <w:r>
              <w:t>Renewable utilisation, curtailment MWh, operational CO2e, avoided CO2e, carbon cost.</w:t>
            </w:r>
          </w:p>
        </w:tc>
      </w:tr>
      <w:tr>
        <w:tc>
          <w:tcPr>
            <w:tcW w:type="dxa" w:w="5112"/>
            <w:vAlign w:val="center"/>
          </w:tcPr>
          <w:p>
            <w:r>
              <w:t>Reliability</w:t>
            </w:r>
          </w:p>
        </w:tc>
        <w:tc>
          <w:tcPr>
            <w:tcW w:type="dxa" w:w="5112"/>
            <w:vAlign w:val="center"/>
          </w:tcPr>
          <w:p>
            <w:r>
              <w:t>Unserved energy, reserve margin, frequency/constraint excursions, plan feasibility, command success, stale telemetry.</w:t>
            </w:r>
          </w:p>
        </w:tc>
      </w:tr>
      <w:tr>
        <w:tc>
          <w:tcPr>
            <w:tcW w:type="dxa" w:w="5112"/>
            <w:vAlign w:val="center"/>
            <w:shd w:fill="EAF3F4"/>
          </w:tcPr>
          <w:p>
            <w:r>
              <w:t>Storage</w:t>
            </w:r>
          </w:p>
        </w:tc>
        <w:tc>
          <w:tcPr>
            <w:tcW w:type="dxa" w:w="5112"/>
            <w:vAlign w:val="center"/>
            <w:shd w:fill="EAF3F4"/>
          </w:tcPr>
          <w:p>
            <w:r>
              <w:t>SoC compliance, cycles, equivalent full cycles, degradation cost, unavailable capacity.</w:t>
            </w:r>
          </w:p>
        </w:tc>
      </w:tr>
      <w:tr>
        <w:tc>
          <w:tcPr>
            <w:tcW w:type="dxa" w:w="5112"/>
            <w:vAlign w:val="center"/>
          </w:tcPr>
          <w:p>
            <w:r>
              <w:t>AI/forecast</w:t>
            </w:r>
          </w:p>
        </w:tc>
        <w:tc>
          <w:tcPr>
            <w:tcW w:type="dxa" w:w="5112"/>
            <w:vAlign w:val="center"/>
          </w:tcPr>
          <w:p>
            <w:r>
              <w:t>MAE, RMSE, MAPE where valid, pinball loss, interval coverage, drift, champion/challenger delta.</w:t>
            </w:r>
          </w:p>
        </w:tc>
      </w:tr>
      <w:tr>
        <w:tc>
          <w:tcPr>
            <w:tcW w:type="dxa" w:w="5112"/>
            <w:vAlign w:val="center"/>
            <w:shd w:fill="EAF3F4"/>
          </w:tcPr>
          <w:p>
            <w:r>
              <w:t>Agents</w:t>
            </w:r>
          </w:p>
        </w:tc>
        <w:tc>
          <w:tcPr>
            <w:tcW w:type="dxa" w:w="5112"/>
            <w:vAlign w:val="center"/>
            <w:shd w:fill="EAF3F4"/>
          </w:tcPr>
          <w:p>
            <w:r>
              <w:t>Task success, tool-policy violations, unsupported recommendation rate, latency and cost.</w:t>
            </w:r>
          </w:p>
        </w:tc>
      </w:tr>
      <w:tr>
        <w:tc>
          <w:tcPr>
            <w:tcW w:type="dxa" w:w="5112"/>
            <w:vAlign w:val="center"/>
          </w:tcPr>
          <w:p>
            <w:r>
              <w:t>Governance</w:t>
            </w:r>
          </w:p>
        </w:tc>
        <w:tc>
          <w:tcPr>
            <w:tcW w:type="dxa" w:w="5112"/>
            <w:vAlign w:val="center"/>
          </w:tcPr>
          <w:p>
            <w:r>
              <w:t>Approval rate/time, override rate, autonomous action count, blocked commands, emergency stops.</w:t>
            </w:r>
          </w:p>
        </w:tc>
      </w:tr>
      <w:tr>
        <w:tc>
          <w:tcPr>
            <w:tcW w:type="dxa" w:w="5112"/>
            <w:vAlign w:val="center"/>
            <w:shd w:fill="EAF3F4"/>
          </w:tcPr>
          <w:p>
            <w:r>
              <w:t>Platform</w:t>
            </w:r>
          </w:p>
        </w:tc>
        <w:tc>
          <w:tcPr>
            <w:tcW w:type="dxa" w:w="5112"/>
            <w:vAlign w:val="center"/>
            <w:shd w:fill="EAF3F4"/>
          </w:tcPr>
          <w:p>
            <w:r>
              <w:t>Availability, decision latency, event lag, connector health, recovery performance.</w:t>
            </w:r>
          </w:p>
        </w:tc>
      </w:tr>
    </w:tbl>
    <w:p>
      <w:pPr>
        <w:pStyle w:val="Heading1"/>
      </w:pPr>
      <w:r>
        <w:t>7. Release plan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Release</w:t>
            </w:r>
          </w:p>
        </w:tc>
        <w:tc>
          <w:tcPr>
            <w:tcW w:type="dxa" w:w="5112"/>
            <w:shd w:fill="0D3749"/>
            <w:vAlign w:val="center"/>
          </w:tcPr>
          <w:p>
            <w:r>
              <w:rPr>
                <w:color w:val="FFFFFF"/>
              </w:rPr>
              <w:t>Product outcome</w:t>
            </w:r>
          </w:p>
        </w:tc>
      </w:tr>
      <w:tr>
        <w:tc>
          <w:tcPr>
            <w:tcW w:type="dxa" w:w="5112"/>
            <w:vAlign w:val="center"/>
          </w:tcPr>
          <w:p>
            <w:r>
              <w:t>R0 Foundation</w:t>
            </w:r>
          </w:p>
        </w:tc>
        <w:tc>
          <w:tcPr>
            <w:tcW w:type="dxa" w:w="5112"/>
            <w:vAlign w:val="center"/>
          </w:tcPr>
          <w:p>
            <w:r>
              <w:t>Tenant, identity, data ingestion, canonical model, dashboard shell and simulator.</w:t>
            </w:r>
          </w:p>
        </w:tc>
      </w:tr>
      <w:tr>
        <w:tc>
          <w:tcPr>
            <w:tcW w:type="dxa" w:w="5112"/>
            <w:vAlign w:val="center"/>
            <w:shd w:fill="EAF3F4"/>
          </w:tcPr>
          <w:p>
            <w:r>
              <w:t>R1 Observe</w:t>
            </w:r>
          </w:p>
        </w:tc>
        <w:tc>
          <w:tcPr>
            <w:tcW w:type="dxa" w:w="5112"/>
            <w:vAlign w:val="center"/>
            <w:shd w:fill="EAF3F4"/>
          </w:tcPr>
          <w:p>
            <w:r>
              <w:t>Live state, forecasts, data quality, replay and no control outputs.</w:t>
            </w:r>
          </w:p>
        </w:tc>
      </w:tr>
      <w:tr>
        <w:tc>
          <w:tcPr>
            <w:tcW w:type="dxa" w:w="5112"/>
            <w:vAlign w:val="center"/>
          </w:tcPr>
          <w:p>
            <w:r>
              <w:t>R2 Recommend</w:t>
            </w:r>
          </w:p>
        </w:tc>
        <w:tc>
          <w:tcPr>
            <w:tcW w:type="dxa" w:w="5112"/>
            <w:vAlign w:val="center"/>
          </w:tcPr>
          <w:p>
            <w:r>
              <w:t>Scenario engine, optimiser, explanations and recommendation workflow.</w:t>
            </w:r>
          </w:p>
        </w:tc>
      </w:tr>
      <w:tr>
        <w:tc>
          <w:tcPr>
            <w:tcW w:type="dxa" w:w="5112"/>
            <w:vAlign w:val="center"/>
            <w:shd w:fill="EAF3F4"/>
          </w:tcPr>
          <w:p>
            <w:r>
              <w:t>R3 Approval</w:t>
            </w:r>
          </w:p>
        </w:tc>
        <w:tc>
          <w:tcPr>
            <w:tcW w:type="dxa" w:w="5112"/>
            <w:vAlign w:val="center"/>
            <w:shd w:fill="EAF3F4"/>
          </w:tcPr>
          <w:p>
            <w:r>
              <w:t>OT command gateway, approval controls, test harness and controlled execution.</w:t>
            </w:r>
          </w:p>
        </w:tc>
      </w:tr>
      <w:tr>
        <w:tc>
          <w:tcPr>
            <w:tcW w:type="dxa" w:w="5112"/>
            <w:vAlign w:val="center"/>
          </w:tcPr>
          <w:p>
            <w:r>
              <w:t>R4 Bounded autonomy</w:t>
            </w:r>
          </w:p>
        </w:tc>
        <w:tc>
          <w:tcPr>
            <w:tcW w:type="dxa" w:w="5112"/>
            <w:vAlign w:val="center"/>
          </w:tcPr>
          <w:p>
            <w:r>
              <w:t>Policy-limited autonomous actions, automated fallback and expanded KPI/value tracking.</w:t>
            </w:r>
          </w:p>
        </w:tc>
      </w:tr>
      <w:tr>
        <w:tc>
          <w:tcPr>
            <w:tcW w:type="dxa" w:w="5112"/>
            <w:vAlign w:val="center"/>
            <w:shd w:fill="EAF3F4"/>
          </w:tcPr>
          <w:p>
            <w:r>
              <w:t>R5 Productisation</w:t>
            </w:r>
          </w:p>
        </w:tc>
        <w:tc>
          <w:tcPr>
            <w:tcW w:type="dxa" w:w="5112"/>
            <w:vAlign w:val="center"/>
            <w:shd w:fill="EAF3F4"/>
          </w:tcPr>
          <w:p>
            <w:r>
              <w:t>Self-service onboarding, configuration packs, billing/metering hooks and portability validation.</w:t>
            </w:r>
          </w:p>
        </w:tc>
      </w:tr>
    </w:tbl>
    <w:p>
      <w:pPr>
        <w:pStyle w:val="Heading1"/>
      </w:pPr>
      <w:r>
        <w:t>8. Non-functional product targets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Area</w:t>
            </w:r>
          </w:p>
        </w:tc>
        <w:tc>
          <w:tcPr>
            <w:tcW w:type="dxa" w:w="5112"/>
            <w:shd w:fill="0D3749"/>
            <w:vAlign w:val="center"/>
          </w:tcPr>
          <w:p>
            <w:r>
              <w:rPr>
                <w:color w:val="FFFFFF"/>
              </w:rPr>
              <w:t>Target</w:t>
            </w:r>
          </w:p>
        </w:tc>
      </w:tr>
      <w:tr>
        <w:tc>
          <w:tcPr>
            <w:tcW w:type="dxa" w:w="5112"/>
            <w:vAlign w:val="center"/>
          </w:tcPr>
          <w:p>
            <w:r>
              <w:t>Decision cycle</w:t>
            </w:r>
          </w:p>
        </w:tc>
        <w:tc>
          <w:tcPr>
            <w:tcW w:type="dxa" w:w="5112"/>
            <w:vAlign w:val="center"/>
          </w:tcPr>
          <w:p>
            <w:r>
              <w:t>Scheduled every 10 minutes; critical event-driven replanning.</w:t>
            </w:r>
          </w:p>
        </w:tc>
      </w:tr>
      <w:tr>
        <w:tc>
          <w:tcPr>
            <w:tcW w:type="dxa" w:w="5112"/>
            <w:vAlign w:val="center"/>
            <w:shd w:fill="EAF3F4"/>
          </w:tcPr>
          <w:p>
            <w:r>
              <w:t>Latency</w:t>
            </w:r>
          </w:p>
        </w:tc>
        <w:tc>
          <w:tcPr>
            <w:tcW w:type="dxa" w:w="5112"/>
            <w:vAlign w:val="center"/>
            <w:shd w:fill="EAF3F4"/>
          </w:tcPr>
          <w:p>
            <w:r>
              <w:t>P95 normal plan ≤120 sec; P95 event re-plan ≤30 sec for reduced horizon/model.</w:t>
            </w:r>
          </w:p>
        </w:tc>
      </w:tr>
      <w:tr>
        <w:tc>
          <w:tcPr>
            <w:tcW w:type="dxa" w:w="5112"/>
            <w:vAlign w:val="center"/>
          </w:tcPr>
          <w:p>
            <w:r>
              <w:t>Availability</w:t>
            </w:r>
          </w:p>
        </w:tc>
        <w:tc>
          <w:tcPr>
            <w:tcW w:type="dxa" w:w="5112"/>
            <w:vAlign w:val="center"/>
          </w:tcPr>
          <w:p>
            <w:r>
              <w:t>99.95% control-plane design target; no single point of failure in production.</w:t>
            </w:r>
          </w:p>
        </w:tc>
      </w:tr>
      <w:tr>
        <w:tc>
          <w:tcPr>
            <w:tcW w:type="dxa" w:w="5112"/>
            <w:vAlign w:val="center"/>
            <w:shd w:fill="EAF3F4"/>
          </w:tcPr>
          <w:p>
            <w:r>
              <w:t>Scale</w:t>
            </w:r>
          </w:p>
        </w:tc>
        <w:tc>
          <w:tcPr>
            <w:tcW w:type="dxa" w:w="5112"/>
            <w:vAlign w:val="center"/>
            <w:shd w:fill="EAF3F4"/>
          </w:tcPr>
          <w:p>
            <w:r>
              <w:t>Initial 10 generation/storage assets plus consumers; 2× without redesign; horizontal scale beyond.</w:t>
            </w:r>
          </w:p>
        </w:tc>
      </w:tr>
      <w:tr>
        <w:tc>
          <w:tcPr>
            <w:tcW w:type="dxa" w:w="5112"/>
            <w:vAlign w:val="center"/>
          </w:tcPr>
          <w:p>
            <w:r>
              <w:t>Audit retention</w:t>
            </w:r>
          </w:p>
        </w:tc>
        <w:tc>
          <w:tcPr>
            <w:tcW w:type="dxa" w:w="5112"/>
            <w:vAlign w:val="center"/>
          </w:tcPr>
          <w:p>
            <w:r>
              <w:t>Configurable; recommended seven years for decision evidence subject to client/legal confirmation.</w:t>
            </w:r>
          </w:p>
        </w:tc>
      </w:tr>
      <w:tr>
        <w:tc>
          <w:tcPr>
            <w:tcW w:type="dxa" w:w="5112"/>
            <w:vAlign w:val="center"/>
            <w:shd w:fill="EAF3F4"/>
          </w:tcPr>
          <w:p>
            <w:r>
              <w:t>Accessibility</w:t>
            </w:r>
          </w:p>
        </w:tc>
        <w:tc>
          <w:tcPr>
            <w:tcW w:type="dxa" w:w="5112"/>
            <w:vAlign w:val="center"/>
            <w:shd w:fill="EAF3F4"/>
          </w:tcPr>
          <w:p>
            <w:r>
              <w:t>WCAG 2.1 AA target.</w:t>
            </w:r>
          </w:p>
        </w:tc>
      </w:tr>
      <w:tr>
        <w:tc>
          <w:tcPr>
            <w:tcW w:type="dxa" w:w="5112"/>
            <w:vAlign w:val="center"/>
          </w:tcPr>
          <w:p>
            <w:r>
              <w:t>Localisation</w:t>
            </w:r>
          </w:p>
        </w:tc>
        <w:tc>
          <w:tcPr>
            <w:tcW w:type="dxa" w:w="5112"/>
            <w:vAlign w:val="center"/>
          </w:tcPr>
          <w:p>
            <w:r>
              <w:t>UTC storage; local time-zone display; English baseline; localisation-ready.</w:t>
            </w:r>
          </w:p>
        </w:tc>
      </w:tr>
      <w:tr>
        <w:tc>
          <w:tcPr>
            <w:tcW w:type="dxa" w:w="5112"/>
            <w:vAlign w:val="center"/>
            <w:shd w:fill="EAF3F4"/>
          </w:tcPr>
          <w:p>
            <w:r>
              <w:t>Browser</w:t>
            </w:r>
          </w:p>
        </w:tc>
        <w:tc>
          <w:tcPr>
            <w:tcW w:type="dxa" w:w="5112"/>
            <w:vAlign w:val="center"/>
            <w:shd w:fill="EAF3F4"/>
          </w:tcPr>
          <w:p>
            <w:r>
              <w:t>Current enterprise-supported versions of Chrome and Edge.</w:t>
            </w:r>
          </w:p>
        </w:tc>
      </w:tr>
    </w:tbl>
    <w:p>
      <w:pPr>
        <w:pStyle w:val="Heading1"/>
      </w:pPr>
      <w:r>
        <w:t>Reference sources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0D3749"/>
            <w:vAlign w:val="center"/>
          </w:tcPr>
          <w:p>
            <w:r>
              <w:rPr>
                <w:color w:val="FFFFFF"/>
              </w:rPr>
              <w:t>Source</w:t>
            </w:r>
          </w:p>
        </w:tc>
        <w:tc>
          <w:tcPr>
            <w:tcW w:type="dxa" w:w="5112"/>
            <w:shd w:fill="0D3749"/>
            <w:vAlign w:val="center"/>
          </w:tcPr>
          <w:p>
            <w:r>
              <w:rPr>
                <w:color w:val="FFFFFF"/>
              </w:rPr>
              <w:t>Use in specification</w:t>
            </w:r>
          </w:p>
        </w:tc>
      </w:tr>
      <w:tr>
        <w:tc>
          <w:tcPr>
            <w:tcW w:type="dxa" w:w="5112"/>
            <w:vAlign w:val="center"/>
          </w:tcPr>
          <w:p>
            <w:r>
              <w:t>EU Electricity Regulation (EU) 2019/943</w:t>
            </w:r>
          </w:p>
        </w:tc>
        <w:tc>
          <w:tcPr>
            <w:tcW w:type="dxa" w:w="5112"/>
            <w:vAlign w:val="center"/>
          </w:tcPr>
          <w:p>
            <w:r>
              <w:t>Reference imbalance settlement period is 15 minutes, subject to applicable exemptions.</w:t>
            </w:r>
          </w:p>
        </w:tc>
      </w:tr>
      <w:tr>
        <w:tc>
          <w:tcPr>
            <w:tcW w:type="dxa" w:w="5112"/>
            <w:vAlign w:val="center"/>
            <w:shd w:fill="EAF3F4"/>
          </w:tcPr>
          <w:p>
            <w:r>
              <w:t>Commission Regulation (EU) 2017/2195</w:t>
            </w:r>
          </w:p>
        </w:tc>
        <w:tc>
          <w:tcPr>
            <w:tcW w:type="dxa" w:w="5112"/>
            <w:vAlign w:val="center"/>
            <w:shd w:fill="EAF3F4"/>
          </w:tcPr>
          <w:p>
            <w:r>
              <w:t>Electricity balancing and imbalance-settlement framework.</w:t>
            </w:r>
          </w:p>
        </w:tc>
      </w:tr>
      <w:tr>
        <w:tc>
          <w:tcPr>
            <w:tcW w:type="dxa" w:w="5112"/>
            <w:vAlign w:val="center"/>
          </w:tcPr>
          <w:p>
            <w:r>
              <w:t>GDPR Regulation (EU) 2016/679</w:t>
            </w:r>
          </w:p>
        </w:tc>
        <w:tc>
          <w:tcPr>
            <w:tcW w:type="dxa" w:w="5112"/>
            <w:vAlign w:val="center"/>
          </w:tcPr>
          <w:p>
            <w:r>
              <w:t>Data protection by design/default, data minimisation and DPIA obligations.</w:t>
            </w:r>
          </w:p>
        </w:tc>
      </w:tr>
      <w:tr>
        <w:tc>
          <w:tcPr>
            <w:tcW w:type="dxa" w:w="5112"/>
            <w:vAlign w:val="center"/>
            <w:shd w:fill="EAF3F4"/>
          </w:tcPr>
          <w:p>
            <w:r>
              <w:t>NIS2 Directive (EU) 2022/2555</w:t>
            </w:r>
          </w:p>
        </w:tc>
        <w:tc>
          <w:tcPr>
            <w:tcW w:type="dxa" w:w="5112"/>
            <w:vAlign w:val="center"/>
            <w:shd w:fill="EAF3F4"/>
          </w:tcPr>
          <w:p>
            <w:r>
              <w:t>Cybersecurity risk management applicable to relevant energy entities.</w:t>
            </w:r>
          </w:p>
        </w:tc>
      </w:tr>
      <w:tr>
        <w:tc>
          <w:tcPr>
            <w:tcW w:type="dxa" w:w="5112"/>
            <w:vAlign w:val="center"/>
          </w:tcPr>
          <w:p>
            <w:r>
              <w:t>EU AI Act / European Commission guidance</w:t>
            </w:r>
          </w:p>
        </w:tc>
        <w:tc>
          <w:tcPr>
            <w:tcW w:type="dxa" w:w="5112"/>
            <w:vAlign w:val="center"/>
          </w:tcPr>
          <w:p>
            <w:r>
              <w:t>Potential high-risk treatment where AI is a safety component in critical infrastructure; classification must be assessed for the deployed use case.</w:t>
            </w:r>
          </w:p>
        </w:tc>
      </w:tr>
      <w:tr>
        <w:tc>
          <w:tcPr>
            <w:tcW w:type="dxa" w:w="5112"/>
            <w:vAlign w:val="center"/>
            <w:shd w:fill="EAF3F4"/>
          </w:tcPr>
          <w:p>
            <w:r>
              <w:t>IEC 62443 series</w:t>
            </w:r>
          </w:p>
        </w:tc>
        <w:tc>
          <w:tcPr>
            <w:tcW w:type="dxa" w:w="5112"/>
            <w:vAlign w:val="center"/>
            <w:shd w:fill="EAF3F4"/>
          </w:tcPr>
          <w:p>
            <w:r>
              <w:t>Industrial automation and control-system cybersecurity principles.</w:t>
            </w:r>
          </w:p>
        </w:tc>
      </w:tr>
      <w:tr>
        <w:tc>
          <w:tcPr>
            <w:tcW w:type="dxa" w:w="5112"/>
            <w:vAlign w:val="center"/>
          </w:tcPr>
          <w:p>
            <w:r>
              <w:t>AWS IoT SiteWise and AWS IoT Greengrass official documentation</w:t>
            </w:r>
          </w:p>
        </w:tc>
        <w:tc>
          <w:tcPr>
            <w:tcW w:type="dxa" w:w="5112"/>
            <w:vAlign w:val="center"/>
          </w:tcPr>
          <w:p>
            <w:r>
              <w:t>AWS-specific industrial-edge and OPC UA implementation reference.</w:t>
            </w:r>
          </w:p>
        </w:tc>
      </w:tr>
    </w:tbl>
    <w:p>
      <w:r>
        <w:br w:type="page"/>
      </w:r>
    </w:p>
    <w:p>
      <w:pPr>
        <w:pStyle w:val="Heading1"/>
      </w:pPr>
      <w:r>
        <w:t>9. Platform experience: Decision Centre, Connector Studio and exports</w:t>
      </w:r>
    </w:p>
    <w:p>
      <w:r>
        <w:t>The primary product experience is a platform workspace comprising Portfolio Operations, Decision Centre, Approval Inbox, Live Signal Monitor, Connector Studio, Policy Studio, Simulation Lab, Audit &amp; Exports, Tenant Administration and Platform Operations.</w:t>
      </w:r>
    </w:p>
    <w:p>
      <w:r>
        <w:t>The Decision Centre shall show a chronological decision ledger and a detailed decision drawer. The drawer shall show trigger, evidence freshness, considered alternatives, forecast/scenario range, chosen action, objective contribution, binding constraints, confidence, risk flags, policy evaluation, required approval, generated outbound payload, execution status, acknowledgements and realised outcome.</w:t>
      </w:r>
    </w:p>
    <w:p>
      <w:r>
        <w:t>Connector Studio shall let authorised Integration Administrators create and manage REST or messaging integrations using an endpoint URL or broker configuration, authentication profile, headers, certificates, schema and field mapping, timeout, retry, idempotency, rate limits, approval gate and environment. Production activation requires separation of duties and a successful connectivity and contract test.</w:t>
      </w:r>
    </w:p>
    <w:p>
      <w:r>
        <w:t>The Audit &amp; Exports workspace shall create an Excel workbook from the current filters. It shall include Decisions, Signals, Reasoning, Approvals, Acknowledgements and Export Metadata worksheets. Sensitive fields shall be omitted or redacted according to role and tenant policy.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Pr>
          <w:p>
            <w:r>
              <w:rPr>
                <w:b/>
                <w:color w:val="FFFFFF"/>
                <w:sz w:val="18"/>
              </w:rPr>
              <w:t>Product requirement</w:t>
            </w:r>
          </w:p>
        </w:tc>
        <w:tc>
          <w:tcPr>
            <w:tcW w:type="dxa" w:w="3408"/>
            <w:shd w:fill="1F4E78"/>
            <w:vAlign w:val="center"/>
          </w:tcPr>
          <w:p>
            <w:r>
              <w:rPr>
                <w:b/>
                <w:color w:val="FFFFFF"/>
                <w:sz w:val="18"/>
              </w:rPr>
              <w:t>Priority</w:t>
            </w:r>
          </w:p>
        </w:tc>
        <w:tc>
          <w:tcPr>
            <w:tcW w:type="dxa" w:w="3408"/>
            <w:shd w:fill="1F4E78"/>
            <w:vAlign w:val="center"/>
          </w:tcPr>
          <w:p>
            <w:r>
              <w:rPr>
                <w:b/>
                <w:color w:val="FFFFFF"/>
                <w:sz w:val="18"/>
              </w:rPr>
              <w:t>Definition of done</w:t>
            </w:r>
          </w:p>
        </w:tc>
      </w:tr>
      <w:tr>
        <w:tc>
          <w:tcPr>
            <w:tcW w:type="dxa" w:w="3408"/>
            <w:vAlign w:val="top"/>
          </w:tcPr>
          <w:p>
            <w:r>
              <w:rPr>
                <w:sz w:val="17"/>
              </w:rPr>
              <w:t>PRD-DC-01: Live decision ledger covering buy/sell, source switching, curtailment, demand response, maintenance, SCADA and BESS actions.</w:t>
            </w:r>
          </w:p>
        </w:tc>
        <w:tc>
          <w:tcPr>
            <w:tcW w:type="dxa" w:w="3408"/>
            <w:vAlign w:val="top"/>
          </w:tcPr>
          <w:p>
            <w:r>
              <w:rPr>
                <w:sz w:val="17"/>
              </w:rPr>
              <w:t>Must</w:t>
            </w:r>
          </w:p>
        </w:tc>
        <w:tc>
          <w:tcPr>
            <w:tcW w:type="dxa" w:w="3408"/>
            <w:vAlign w:val="top"/>
          </w:tcPr>
          <w:p>
            <w:r>
              <w:rPr>
                <w:sz w:val="17"/>
              </w:rPr>
              <w:t>Updates within the platform latency target and supports search, filtering and drill-down.</w:t>
            </w:r>
          </w:p>
        </w:tc>
      </w:tr>
      <w:tr>
        <w:tc>
          <w:tcPr>
            <w:tcW w:type="dxa" w:w="3408"/>
            <w:vAlign w:val="top"/>
            <w:shd w:fill="DCE6F1"/>
          </w:tcPr>
          <w:p>
            <w:r>
              <w:rPr>
                <w:sz w:val="17"/>
              </w:rPr>
              <w:t>PRD-DC-02: Explainability view with objectives, alternatives, constraints, assumptions, confidence and expected impact.</w:t>
            </w:r>
          </w:p>
        </w:tc>
        <w:tc>
          <w:tcPr>
            <w:tcW w:type="dxa" w:w="3408"/>
            <w:vAlign w:val="top"/>
            <w:shd w:fill="DCE6F1"/>
          </w:tcPr>
          <w:p>
            <w:r>
              <w:rPr>
                <w:sz w:val="17"/>
              </w:rPr>
              <w:t>Must</w:t>
            </w:r>
          </w:p>
        </w:tc>
        <w:tc>
          <w:tcPr>
            <w:tcW w:type="dxa" w:w="3408"/>
            <w:vAlign w:val="top"/>
            <w:shd w:fill="DCE6F1"/>
          </w:tcPr>
          <w:p>
            <w:r>
              <w:rPr>
                <w:sz w:val="17"/>
              </w:rPr>
              <w:t>Explanation is generated from validated decision artefacts, not unsupported model narrative.</w:t>
            </w:r>
          </w:p>
        </w:tc>
      </w:tr>
      <w:tr>
        <w:tc>
          <w:tcPr>
            <w:tcW w:type="dxa" w:w="3408"/>
            <w:vAlign w:val="top"/>
          </w:tcPr>
          <w:p>
            <w:r>
              <w:rPr>
                <w:sz w:val="17"/>
              </w:rPr>
              <w:t>PRD-APP-01: Approval inbox with approve, reject, modify-within-limits, delegate and expire actions.</w:t>
            </w:r>
          </w:p>
        </w:tc>
        <w:tc>
          <w:tcPr>
            <w:tcW w:type="dxa" w:w="3408"/>
            <w:vAlign w:val="top"/>
          </w:tcPr>
          <w:p>
            <w:r>
              <w:rPr>
                <w:sz w:val="17"/>
              </w:rPr>
              <w:t>Must</w:t>
            </w:r>
          </w:p>
        </w:tc>
        <w:tc>
          <w:tcPr>
            <w:tcW w:type="dxa" w:w="3408"/>
            <w:vAlign w:val="top"/>
          </w:tcPr>
          <w:p>
            <w:r>
              <w:rPr>
                <w:sz w:val="17"/>
              </w:rPr>
              <w:t>Identity, role, comment, timestamp and decision version are retained.</w:t>
            </w:r>
          </w:p>
        </w:tc>
      </w:tr>
      <w:tr>
        <w:tc>
          <w:tcPr>
            <w:tcW w:type="dxa" w:w="3408"/>
            <w:vAlign w:val="top"/>
            <w:shd w:fill="DCE6F1"/>
          </w:tcPr>
          <w:p>
            <w:r>
              <w:rPr>
                <w:sz w:val="17"/>
              </w:rPr>
              <w:t>PRD-SIG-01: Live signal monitor showing prepared, queued, sent, acknowledged, rejected, timed-out, retried and rolled-back states.</w:t>
            </w:r>
          </w:p>
        </w:tc>
        <w:tc>
          <w:tcPr>
            <w:tcW w:type="dxa" w:w="3408"/>
            <w:vAlign w:val="top"/>
            <w:shd w:fill="DCE6F1"/>
          </w:tcPr>
          <w:p>
            <w:r>
              <w:rPr>
                <w:sz w:val="17"/>
              </w:rPr>
              <w:t>Must</w:t>
            </w:r>
          </w:p>
        </w:tc>
        <w:tc>
          <w:tcPr>
            <w:tcW w:type="dxa" w:w="3408"/>
            <w:vAlign w:val="top"/>
            <w:shd w:fill="DCE6F1"/>
          </w:tcPr>
          <w:p>
            <w:r>
              <w:rPr>
                <w:sz w:val="17"/>
              </w:rPr>
              <w:t>Signal payload and response are masked according to permissions.</w:t>
            </w:r>
          </w:p>
        </w:tc>
      </w:tr>
      <w:tr>
        <w:tc>
          <w:tcPr>
            <w:tcW w:type="dxa" w:w="3408"/>
            <w:vAlign w:val="top"/>
          </w:tcPr>
          <w:p>
            <w:r>
              <w:rPr>
                <w:sz w:val="17"/>
              </w:rPr>
              <w:t>PRD-CON-01: Human-configurable API endpoint and authentication profile through Connector Studio.</w:t>
            </w:r>
          </w:p>
        </w:tc>
        <w:tc>
          <w:tcPr>
            <w:tcW w:type="dxa" w:w="3408"/>
            <w:vAlign w:val="top"/>
          </w:tcPr>
          <w:p>
            <w:r>
              <w:rPr>
                <w:sz w:val="17"/>
              </w:rPr>
              <w:t>Must</w:t>
            </w:r>
          </w:p>
        </w:tc>
        <w:tc>
          <w:tcPr>
            <w:tcW w:type="dxa" w:w="3408"/>
            <w:vAlign w:val="top"/>
          </w:tcPr>
          <w:p>
            <w:r>
              <w:rPr>
                <w:sz w:val="17"/>
              </w:rPr>
              <w:t>Supports OAuth 2.0 client credentials, mTLS, API key and signed-token patterns; secrets are vault-backed.</w:t>
            </w:r>
          </w:p>
        </w:tc>
      </w:tr>
      <w:tr>
        <w:tc>
          <w:tcPr>
            <w:tcW w:type="dxa" w:w="3408"/>
            <w:vAlign w:val="top"/>
            <w:shd w:fill="DCE6F1"/>
          </w:tcPr>
          <w:p>
            <w:r>
              <w:rPr>
                <w:sz w:val="17"/>
              </w:rPr>
              <w:t>PRD-CON-02: Test connection, schema validation, dry run and promotion workflow.</w:t>
            </w:r>
          </w:p>
        </w:tc>
        <w:tc>
          <w:tcPr>
            <w:tcW w:type="dxa" w:w="3408"/>
            <w:vAlign w:val="top"/>
            <w:shd w:fill="DCE6F1"/>
          </w:tcPr>
          <w:p>
            <w:r>
              <w:rPr>
                <w:sz w:val="17"/>
              </w:rPr>
              <w:t>Must</w:t>
            </w:r>
          </w:p>
        </w:tc>
        <w:tc>
          <w:tcPr>
            <w:tcW w:type="dxa" w:w="3408"/>
            <w:vAlign w:val="top"/>
            <w:shd w:fill="DCE6F1"/>
          </w:tcPr>
          <w:p>
            <w:r>
              <w:rPr>
                <w:sz w:val="17"/>
              </w:rPr>
              <w:t>Production connector cannot be enabled until tests pass and an authorised approver activates it.</w:t>
            </w:r>
          </w:p>
        </w:tc>
      </w:tr>
      <w:tr>
        <w:tc>
          <w:tcPr>
            <w:tcW w:type="dxa" w:w="3408"/>
            <w:vAlign w:val="top"/>
          </w:tcPr>
          <w:p>
            <w:r>
              <w:rPr>
                <w:sz w:val="17"/>
              </w:rPr>
              <w:t>PRD-EXP-01: Excel export of filtered decisions and all associated signals/reasoning.</w:t>
            </w:r>
          </w:p>
        </w:tc>
        <w:tc>
          <w:tcPr>
            <w:tcW w:type="dxa" w:w="3408"/>
            <w:vAlign w:val="top"/>
          </w:tcPr>
          <w:p>
            <w:r>
              <w:rPr>
                <w:sz w:val="17"/>
              </w:rPr>
              <w:t>Must</w:t>
            </w:r>
          </w:p>
        </w:tc>
        <w:tc>
          <w:tcPr>
            <w:tcW w:type="dxa" w:w="3408"/>
            <w:vAlign w:val="top"/>
          </w:tcPr>
          <w:p>
            <w:r>
              <w:rPr>
                <w:sz w:val="17"/>
              </w:rPr>
              <w:t>Workbook is generated asynchronously, checksummed, access-controlled and audit logged.</w:t>
            </w:r>
          </w:p>
        </w:tc>
      </w:tr>
      <w:tr>
        <w:tc>
          <w:tcPr>
            <w:tcW w:type="dxa" w:w="3408"/>
            <w:vAlign w:val="top"/>
            <w:shd w:fill="DCE6F1"/>
          </w:tcPr>
          <w:p>
            <w:r>
              <w:rPr>
                <w:sz w:val="17"/>
              </w:rPr>
              <w:t>PRD-PLT-01: Multi-tenant platform control plane and tenant workspaces.</w:t>
            </w:r>
          </w:p>
        </w:tc>
        <w:tc>
          <w:tcPr>
            <w:tcW w:type="dxa" w:w="3408"/>
            <w:vAlign w:val="top"/>
            <w:shd w:fill="DCE6F1"/>
          </w:tcPr>
          <w:p>
            <w:r>
              <w:rPr>
                <w:sz w:val="17"/>
              </w:rPr>
              <w:t>Must</w:t>
            </w:r>
          </w:p>
        </w:tc>
        <w:tc>
          <w:tcPr>
            <w:tcW w:type="dxa" w:w="3408"/>
            <w:vAlign w:val="top"/>
            <w:shd w:fill="DCE6F1"/>
          </w:tcPr>
          <w:p>
            <w:r>
              <w:rPr>
                <w:sz w:val="17"/>
              </w:rPr>
              <w:t>Tenant configuration and data are logically isolated; dedicated deployment option remains available.</w:t>
            </w:r>
          </w:p>
        </w:tc>
      </w:tr>
      <w:tr>
        <w:tc>
          <w:tcPr>
            <w:tcW w:type="dxa" w:w="3408"/>
            <w:vAlign w:val="top"/>
          </w:tcPr>
          <w:p>
            <w:r>
              <w:rPr>
                <w:sz w:val="17"/>
              </w:rPr>
              <w:t>PRD-PLT-02: Platform health and usage dashboard.</w:t>
            </w:r>
          </w:p>
        </w:tc>
        <w:tc>
          <w:tcPr>
            <w:tcW w:type="dxa" w:w="3408"/>
            <w:vAlign w:val="top"/>
          </w:tcPr>
          <w:p>
            <w:r>
              <w:rPr>
                <w:sz w:val="17"/>
              </w:rPr>
              <w:t>Should</w:t>
            </w:r>
          </w:p>
        </w:tc>
        <w:tc>
          <w:tcPr>
            <w:tcW w:type="dxa" w:w="3408"/>
            <w:vAlign w:val="top"/>
          </w:tcPr>
          <w:p>
            <w:r>
              <w:rPr>
                <w:sz w:val="17"/>
              </w:rPr>
              <w:t>Shows connector health, cycle latency, optimisation status, queue depth, command success and tenant usage.</w:t>
            </w:r>
          </w:p>
        </w:tc>
      </w:tr>
    </w:tbl>
    <w:p/>
    <w:p>
      <w:r>
        <w:rPr>
          <w:b/>
        </w:rPr>
        <w:t xml:space="preserve">Version 1.1 update scope: </w:t>
      </w:r>
      <w:r>
        <w:t>Platform product positioning; complete decision/signal dashboard lineage; governed Excel export; human-configurable API integration and authentication; approval-gated execution; and strengthened multi-tenant, OT and connector security controls.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96E"/>
        <w:sz w:val="16"/>
      </w:rPr>
      <w:t xml:space="preserve">Confidential client proposal  •  v1.0  •  23 September 2026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696E"/>
        <w:sz w:val="16"/>
      </w:rPr>
      <w:t>Renewable Energy Orchestrator (REO)  |  Product Requirements Document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D374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D37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3E606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