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007078"/>
          <w:sz w:val="56"/>
        </w:rPr>
        <w:t>Renewable Energy Orchestrator (REO)</w:t>
      </w:r>
    </w:p>
    <w:p>
      <w:pPr>
        <w:jc w:val="center"/>
      </w:pPr>
      <w:r>
        <w:rPr>
          <w:b/>
          <w:color w:val="0D3749"/>
          <w:sz w:val="48"/>
        </w:rPr>
        <w:t>Functional Requirements Document (FRD)</w:t>
      </w:r>
    </w:p>
    <w:p>
      <w:pPr>
        <w:jc w:val="center"/>
      </w:pPr>
      <w:r>
        <w:rPr>
          <w:color w:val="505F64"/>
          <w:sz w:val="24"/>
        </w:rPr>
        <w:t>Client-ready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5112"/>
          </w:tcPr>
          <w:p>
            <w:r>
              <w:t>1.1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5112"/>
          </w:tcPr>
          <w:p>
            <w:r>
              <w:t>23 September 2026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Deployment</w:t>
            </w:r>
          </w:p>
        </w:tc>
        <w:tc>
          <w:tcPr>
            <w:tcW w:type="dxa" w:w="5112"/>
          </w:tcPr>
          <w:p>
            <w:r>
              <w:t>Cloud-neutral; first client on AWS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Market</w:t>
            </w:r>
          </w:p>
        </w:tc>
        <w:tc>
          <w:tcPr>
            <w:tcW w:type="dxa" w:w="5112"/>
          </w:tcPr>
          <w:p>
            <w:r>
              <w:t>European electricity market; GDPR applicable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Classification</w:t>
            </w:r>
          </w:p>
        </w:tc>
        <w:tc>
          <w:tcPr>
            <w:tcW w:type="dxa" w:w="5112"/>
          </w:tcPr>
          <w:p>
            <w:r>
              <w:t>Confidential — client proposal</w:t>
            </w:r>
          </w:p>
        </w:tc>
      </w:tr>
    </w:tbl>
    <w:p>
      <w:r>
        <w:br w:type="page"/>
      </w:r>
    </w:p>
    <w:p>
      <w:pPr>
        <w:pStyle w:val="Heading1"/>
      </w:pPr>
      <w:r>
        <w:t>1. Functional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Module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Responsibilities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Ingestion &amp; quality</w:t>
            </w:r>
          </w:p>
        </w:tc>
        <w:tc>
          <w:tcPr>
            <w:tcW w:type="dxa" w:w="5112"/>
            <w:vAlign w:val="center"/>
          </w:tcPr>
          <w:p>
            <w:r>
              <w:t>Acquire, validate, classify, redact, normalise, quarantine and publish data.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Asset registry &amp; digital twin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Asset topology, constraints, state, capability, contracts and versioning.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Forecast service</w:t>
            </w:r>
          </w:p>
        </w:tc>
        <w:tc>
          <w:tcPr>
            <w:tcW w:type="dxa" w:w="5112"/>
            <w:vAlign w:val="center"/>
          </w:tcPr>
          <w:p>
            <w:r>
              <w:t>Generation, demand, price, weather impact and availability forecasts.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Scenario engine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Time-series perturbations, correlated uncertainty, contingencies and simulation.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Optimisation engine</w:t>
            </w:r>
          </w:p>
        </w:tc>
        <w:tc>
          <w:tcPr>
            <w:tcW w:type="dxa" w:w="5112"/>
            <w:vAlign w:val="center"/>
          </w:tcPr>
          <w:p>
            <w:r>
              <w:t>Feasible multi-objective schedules and alternatives.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Agent orchestrator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Workflow decomposition, specialist analysis, review, explanation and escalation.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Policy &amp; safety engine</w:t>
            </w:r>
          </w:p>
        </w:tc>
        <w:tc>
          <w:tcPr>
            <w:tcW w:type="dxa" w:w="5112"/>
            <w:vAlign w:val="center"/>
          </w:tcPr>
          <w:p>
            <w:r>
              <w:t>Autonomy, approvals, action envelope, segregation of duties and deny rules.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Command service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Prepare, validate, commit, acknowledge, retry, cancel and reconcile.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 &amp; reporting</w:t>
            </w:r>
          </w:p>
        </w:tc>
        <w:tc>
          <w:tcPr>
            <w:tcW w:type="dxa" w:w="5112"/>
            <w:vAlign w:val="center"/>
          </w:tcPr>
          <w:p>
            <w:r>
              <w:t>Live operations, actions, governance, KPIs and evidence export.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Privacy &amp; audit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PII handling, retention, access logs and immutable decision chain.</w:t>
            </w:r>
          </w:p>
        </w:tc>
      </w:tr>
    </w:tbl>
    <w:p>
      <w:pPr>
        <w:pStyle w:val="Heading1"/>
      </w:pPr>
      <w:r>
        <w:t>2. Detailed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0D3749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2045"/>
            <w:shd w:fill="0D3749"/>
            <w:vAlign w:val="center"/>
          </w:tcPr>
          <w:p>
            <w:r>
              <w:rPr>
                <w:color w:val="FFFFFF"/>
              </w:rPr>
              <w:t>Function</w:t>
            </w:r>
          </w:p>
        </w:tc>
        <w:tc>
          <w:tcPr>
            <w:tcW w:type="dxa" w:w="2045"/>
            <w:shd w:fill="0D3749"/>
            <w:vAlign w:val="center"/>
          </w:tcPr>
          <w:p>
            <w:r>
              <w:rPr>
                <w:color w:val="FFFFFF"/>
              </w:rPr>
              <w:t>Requirement</w:t>
            </w:r>
          </w:p>
        </w:tc>
        <w:tc>
          <w:tcPr>
            <w:tcW w:type="dxa" w:w="2045"/>
            <w:shd w:fill="0D3749"/>
            <w:vAlign w:val="center"/>
          </w:tcPr>
          <w:p>
            <w:r>
              <w:rPr>
                <w:color w:val="FFFFFF"/>
              </w:rPr>
              <w:t>Acceptance criteria</w:t>
            </w:r>
          </w:p>
        </w:tc>
        <w:tc>
          <w:tcPr>
            <w:tcW w:type="dxa" w:w="2045"/>
            <w:shd w:fill="0D3749"/>
            <w:vAlign w:val="center"/>
          </w:tcPr>
          <w:p>
            <w:r>
              <w:rPr>
                <w:color w:val="FFFFFF"/>
              </w:rPr>
              <w:t>Priority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FR-DI-001</w:t>
            </w:r>
          </w:p>
        </w:tc>
        <w:tc>
          <w:tcPr>
            <w:tcW w:type="dxa" w:w="2045"/>
            <w:vAlign w:val="center"/>
          </w:tcPr>
          <w:p>
            <w:r>
              <w:t>File ingestion</w:t>
            </w:r>
          </w:p>
        </w:tc>
        <w:tc>
          <w:tcPr>
            <w:tcW w:type="dxa" w:w="2045"/>
            <w:vAlign w:val="center"/>
          </w:tcPr>
          <w:p>
            <w:r>
              <w:t>User shall upload CSV, JSON, XML, XLSX, Parquet, PDF and image files through UI/API.</w:t>
            </w:r>
          </w:p>
        </w:tc>
        <w:tc>
          <w:tcPr>
            <w:tcW w:type="dxa" w:w="2045"/>
            <w:vAlign w:val="center"/>
          </w:tcPr>
          <w:p>
            <w:r>
              <w:t>File is scanned, classified, parsed or quarantined; lineage ID returned.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FR-DI-002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Path ingestion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System shall monitor approved SFTP/object-store/network paths on schedule or event.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New file is processed once using checksum/idempotency.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FR-DI-003</w:t>
            </w:r>
          </w:p>
        </w:tc>
        <w:tc>
          <w:tcPr>
            <w:tcW w:type="dxa" w:w="2045"/>
            <w:vAlign w:val="center"/>
          </w:tcPr>
          <w:p>
            <w:r>
              <w:t>Database ingestion</w:t>
            </w:r>
          </w:p>
        </w:tc>
        <w:tc>
          <w:tcPr>
            <w:tcW w:type="dxa" w:w="2045"/>
            <w:vAlign w:val="center"/>
          </w:tcPr>
          <w:p>
            <w:r>
              <w:t>System shall connect using JDBC/approved drivers, full or incremental/CDC modes.</w:t>
            </w:r>
          </w:p>
        </w:tc>
        <w:tc>
          <w:tcPr>
            <w:tcW w:type="dxa" w:w="2045"/>
            <w:vAlign w:val="center"/>
          </w:tcPr>
          <w:p>
            <w:r>
              <w:t>Connection test, schema mapping, watermark and retry are visible.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FR-DI-004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Streaming ingestion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System shall subscribe/publish using Kafka, MQTT and REST webhooks.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Ordering, duplicate handling and dead-letter routing demonstrated.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FR-DI-005</w:t>
            </w:r>
          </w:p>
        </w:tc>
        <w:tc>
          <w:tcPr>
            <w:tcW w:type="dxa" w:w="2045"/>
            <w:vAlign w:val="center"/>
          </w:tcPr>
          <w:p>
            <w:r>
              <w:t>Industrial ingestion</w:t>
            </w:r>
          </w:p>
        </w:tc>
        <w:tc>
          <w:tcPr>
            <w:tcW w:type="dxa" w:w="2045"/>
            <w:vAlign w:val="center"/>
          </w:tcPr>
          <w:p>
            <w:r>
              <w:t>System shall consume OPC UA and IEC-gateway telemetry with quality/timestamp.</w:t>
            </w:r>
          </w:p>
        </w:tc>
        <w:tc>
          <w:tcPr>
            <w:tcW w:type="dxa" w:w="2045"/>
            <w:vAlign w:val="center"/>
          </w:tcPr>
          <w:p>
            <w:r>
              <w:t>Bad quality and source timestamp remain preserved.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FR-DI-006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Multimodal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System shall extract text/metadata from maintenance PDFs, images and alerts.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Extracted data includes confidence and source reference.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Should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FR-DI-007</w:t>
            </w:r>
          </w:p>
        </w:tc>
        <w:tc>
          <w:tcPr>
            <w:tcW w:type="dxa" w:w="2045"/>
            <w:vAlign w:val="center"/>
          </w:tcPr>
          <w:p>
            <w:r>
              <w:t>PII control</w:t>
            </w:r>
          </w:p>
        </w:tc>
        <w:tc>
          <w:tcPr>
            <w:tcW w:type="dxa" w:w="2045"/>
            <w:vAlign w:val="center"/>
          </w:tcPr>
          <w:p>
            <w:r>
              <w:t>System shall detect and redact/tokenise configured PII before analytical/agent use.</w:t>
            </w:r>
          </w:p>
        </w:tc>
        <w:tc>
          <w:tcPr>
            <w:tcW w:type="dxa" w:w="2045"/>
            <w:vAlign w:val="center"/>
          </w:tcPr>
          <w:p>
            <w:r>
              <w:t>Raw value access is restricted and every reveal is audited.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FR-DT-001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Asset model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Create/update tenant, portfolio, site, asset, meter, node, contract and consumer.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Effective-dated version and validation required.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FR-DT-002</w:t>
            </w:r>
          </w:p>
        </w:tc>
        <w:tc>
          <w:tcPr>
            <w:tcW w:type="dxa" w:w="2045"/>
            <w:vAlign w:val="center"/>
          </w:tcPr>
          <w:p>
            <w:r>
              <w:t>State estimation</w:t>
            </w:r>
          </w:p>
        </w:tc>
        <w:tc>
          <w:tcPr>
            <w:tcW w:type="dxa" w:w="2045"/>
            <w:vAlign w:val="center"/>
          </w:tcPr>
          <w:p>
            <w:r>
              <w:t>Calculate trusted operational state from telemetry and model.</w:t>
            </w:r>
          </w:p>
        </w:tc>
        <w:tc>
          <w:tcPr>
            <w:tcW w:type="dxa" w:w="2045"/>
            <w:vAlign w:val="center"/>
          </w:tcPr>
          <w:p>
            <w:r>
              <w:t>State includes freshness, quality and confidence.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FR-FC-001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Forecasts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Generate point and quantile forecasts for solar, wind, demand and price.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Forecasts stored with issue time, horizon and model version.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FR-FC-002</w:t>
            </w:r>
          </w:p>
        </w:tc>
        <w:tc>
          <w:tcPr>
            <w:tcW w:type="dxa" w:w="2045"/>
            <w:vAlign w:val="center"/>
          </w:tcPr>
          <w:p>
            <w:r>
              <w:t>Model fallback</w:t>
            </w:r>
          </w:p>
        </w:tc>
        <w:tc>
          <w:tcPr>
            <w:tcW w:type="dxa" w:w="2045"/>
            <w:vAlign w:val="center"/>
          </w:tcPr>
          <w:p>
            <w:r>
              <w:t>Fallback to persistence/approved baseline when model unavailable.</w:t>
            </w:r>
          </w:p>
        </w:tc>
        <w:tc>
          <w:tcPr>
            <w:tcW w:type="dxa" w:w="2045"/>
            <w:vAlign w:val="center"/>
          </w:tcPr>
          <w:p>
            <w:r>
              <w:t>Fallback is labelled and autonomy may be reduced.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FR-SC-001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Horizon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Run 12h, 24h, 48h and 7d plans.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User/API selects horizon and resolution profile.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FR-SC-002</w:t>
            </w:r>
          </w:p>
        </w:tc>
        <w:tc>
          <w:tcPr>
            <w:tcW w:type="dxa" w:w="2045"/>
            <w:vAlign w:val="center"/>
          </w:tcPr>
          <w:p>
            <w:r>
              <w:t>Scenario events</w:t>
            </w:r>
          </w:p>
        </w:tc>
        <w:tc>
          <w:tcPr>
            <w:tcW w:type="dxa" w:w="2045"/>
            <w:vAlign w:val="center"/>
          </w:tcPr>
          <w:p>
            <w:r>
              <w:t>Inject cloud, wind, price, outage, congestion, demand, storm and maintenance events.</w:t>
            </w:r>
          </w:p>
        </w:tc>
        <w:tc>
          <w:tcPr>
            <w:tcW w:type="dxa" w:w="2045"/>
            <w:vAlign w:val="center"/>
          </w:tcPr>
          <w:p>
            <w:r>
              <w:t>Scenario is reproducible by seed and version.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FR-SC-003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Monte Carlo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Generate correlated trajectories and probabilities.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Outputs include expected, percentile and CVaR metrics.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Should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FR-OP-001</w:t>
            </w:r>
          </w:p>
        </w:tc>
        <w:tc>
          <w:tcPr>
            <w:tcW w:type="dxa" w:w="2045"/>
            <w:vAlign w:val="center"/>
          </w:tcPr>
          <w:p>
            <w:r>
              <w:t>Objective policy</w:t>
            </w:r>
          </w:p>
        </w:tc>
        <w:tc>
          <w:tcPr>
            <w:tcW w:type="dxa" w:w="2045"/>
            <w:vAlign w:val="center"/>
          </w:tcPr>
          <w:p>
            <w:r>
              <w:t>Configure objective priorities, weights, carbon price, risk aversion and penalties.</w:t>
            </w:r>
          </w:p>
        </w:tc>
        <w:tc>
          <w:tcPr>
            <w:tcW w:type="dxa" w:w="2045"/>
            <w:vAlign w:val="center"/>
          </w:tcPr>
          <w:p>
            <w:r>
              <w:t>Policy is versioned and requires authorised approval.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FR-OP-002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Constraints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Enforce energy balance, SoC, rates, ramps, efficiencies, lines, reserves, contracts and availability.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No released action violates a hard constraint.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FR-OP-003</w:t>
            </w:r>
          </w:p>
        </w:tc>
        <w:tc>
          <w:tcPr>
            <w:tcW w:type="dxa" w:w="2045"/>
            <w:vAlign w:val="center"/>
          </w:tcPr>
          <w:p>
            <w:r>
              <w:t>Action set</w:t>
            </w:r>
          </w:p>
        </w:tc>
        <w:tc>
          <w:tcPr>
            <w:tcW w:type="dxa" w:w="2045"/>
            <w:vAlign w:val="center"/>
          </w:tcPr>
          <w:p>
            <w:r>
              <w:t>Optimise charge, discharge, reserve, buy, sell, curtail, demand response and maintenance advice.</w:t>
            </w:r>
          </w:p>
        </w:tc>
        <w:tc>
          <w:tcPr>
            <w:tcW w:type="dxa" w:w="2045"/>
            <w:vAlign w:val="center"/>
          </w:tcPr>
          <w:p>
            <w:r>
              <w:t>Each action has quantity, interval, reason and expected outcome.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FR-OP-004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Alternative plans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Return top feasible alternatives where computationally practical.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UI explains trade-off versus selected plan.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Should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FR-AG-001</w:t>
            </w:r>
          </w:p>
        </w:tc>
        <w:tc>
          <w:tcPr>
            <w:tcW w:type="dxa" w:w="2045"/>
            <w:vAlign w:val="center"/>
          </w:tcPr>
          <w:p>
            <w:r>
              <w:t>Agents</w:t>
            </w:r>
          </w:p>
        </w:tc>
        <w:tc>
          <w:tcPr>
            <w:tcW w:type="dxa" w:w="2045"/>
            <w:vAlign w:val="center"/>
          </w:tcPr>
          <w:p>
            <w:r>
              <w:t>Use specialist agents for data quality, forecasting, market, assets, grid, optimisation review, risk and explanation.</w:t>
            </w:r>
          </w:p>
        </w:tc>
        <w:tc>
          <w:tcPr>
            <w:tcW w:type="dxa" w:w="2045"/>
            <w:vAlign w:val="center"/>
          </w:tcPr>
          <w:p>
            <w:r>
              <w:t>Every agent has a bounded tool/permission manifest.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FR-AG-002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No direct control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Agent output shall be typed proposal only, never a field command.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Command service rejects unsigned/unvalidated proposals.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FR-GV-001</w:t>
            </w:r>
          </w:p>
        </w:tc>
        <w:tc>
          <w:tcPr>
            <w:tcW w:type="dxa" w:w="2045"/>
            <w:vAlign w:val="center"/>
          </w:tcPr>
          <w:p>
            <w:r>
              <w:t>Modes</w:t>
            </w:r>
          </w:p>
        </w:tc>
        <w:tc>
          <w:tcPr>
            <w:tcW w:type="dxa" w:w="2045"/>
            <w:vAlign w:val="center"/>
          </w:tcPr>
          <w:p>
            <w:r>
              <w:t>Support Observe, Recommend, Approval and Autonomous modes.</w:t>
            </w:r>
          </w:p>
        </w:tc>
        <w:tc>
          <w:tcPr>
            <w:tcW w:type="dxa" w:w="2045"/>
            <w:vAlign w:val="center"/>
          </w:tcPr>
          <w:p>
            <w:r>
              <w:t>Mode is visible, effective-dated and enforced server-side.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FR-GV-002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Approvals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Route actions by risk, value, asset and policy; support four-eyes.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Unauthorised/self-approval is prevented.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FR-GV-003</w:t>
            </w:r>
          </w:p>
        </w:tc>
        <w:tc>
          <w:tcPr>
            <w:tcW w:type="dxa" w:w="2045"/>
            <w:vAlign w:val="center"/>
          </w:tcPr>
          <w:p>
            <w:r>
              <w:t>Override</w:t>
            </w:r>
          </w:p>
        </w:tc>
        <w:tc>
          <w:tcPr>
            <w:tcW w:type="dxa" w:w="2045"/>
            <w:vAlign w:val="center"/>
          </w:tcPr>
          <w:p>
            <w:r>
              <w:t>Operator can pause, reject, edit within envelope or emergency-stop.</w:t>
            </w:r>
          </w:p>
        </w:tc>
        <w:tc>
          <w:tcPr>
            <w:tcW w:type="dxa" w:w="2045"/>
            <w:vAlign w:val="center"/>
          </w:tcPr>
          <w:p>
            <w:r>
              <w:t>Override reason is mandatory and audited.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FR-CM-001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Pre-command validation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Re-read state and validate expiry, interlocks, envelope and policy.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Validation occurs immediately before commit.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FR-CM-002</w:t>
            </w:r>
          </w:p>
        </w:tc>
        <w:tc>
          <w:tcPr>
            <w:tcW w:type="dxa" w:w="2045"/>
            <w:vAlign w:val="center"/>
          </w:tcPr>
          <w:p>
            <w:r>
              <w:t>Execution</w:t>
            </w:r>
          </w:p>
        </w:tc>
        <w:tc>
          <w:tcPr>
            <w:tcW w:type="dxa" w:w="2045"/>
            <w:vAlign w:val="center"/>
          </w:tcPr>
          <w:p>
            <w:r>
              <w:t>Use prepare/commit/acknowledge and unique command ID.</w:t>
            </w:r>
          </w:p>
        </w:tc>
        <w:tc>
          <w:tcPr>
            <w:tcW w:type="dxa" w:w="2045"/>
            <w:vAlign w:val="center"/>
          </w:tcPr>
          <w:p>
            <w:r>
              <w:t>Duplicate commit cannot cause duplicate physical action.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FR-CM-003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Failure handling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On timeout/rejection, retry only if safe; otherwise cancel/escalate/fallback.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Outcome is reconciled with telemetry.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FR-UI-001</w:t>
            </w:r>
          </w:p>
        </w:tc>
        <w:tc>
          <w:tcPr>
            <w:tcW w:type="dxa" w:w="2045"/>
            <w:vAlign w:val="center"/>
          </w:tcPr>
          <w:p>
            <w:r>
              <w:t>Live cockpit</w:t>
            </w:r>
          </w:p>
        </w:tc>
        <w:tc>
          <w:tcPr>
            <w:tcW w:type="dxa" w:w="2045"/>
            <w:vAlign w:val="center"/>
          </w:tcPr>
          <w:p>
            <w:r>
              <w:t>Update operational feeds and alerts in near real time.</w:t>
            </w:r>
          </w:p>
        </w:tc>
        <w:tc>
          <w:tcPr>
            <w:tcW w:type="dxa" w:w="2045"/>
            <w:vAlign w:val="center"/>
          </w:tcPr>
          <w:p>
            <w:r>
              <w:t>User sees freshness and connection status.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FR-UI-002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Explainability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Display objective contribution, binding constraints, confidence, alternatives and source lineage.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Decision explanation available by decision ID.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FR-AU-001</w:t>
            </w:r>
          </w:p>
        </w:tc>
        <w:tc>
          <w:tcPr>
            <w:tcW w:type="dxa" w:w="2045"/>
            <w:vAlign w:val="center"/>
          </w:tcPr>
          <w:p>
            <w:r>
              <w:t>Audit</w:t>
            </w:r>
          </w:p>
        </w:tc>
        <w:tc>
          <w:tcPr>
            <w:tcW w:type="dxa" w:w="2045"/>
            <w:vAlign w:val="center"/>
          </w:tcPr>
          <w:p>
            <w:r>
              <w:t>Store tamper-evident event chain for data, model, plan, approval and command.</w:t>
            </w:r>
          </w:p>
        </w:tc>
        <w:tc>
          <w:tcPr>
            <w:tcW w:type="dxa" w:w="2045"/>
            <w:vAlign w:val="center"/>
          </w:tcPr>
          <w:p>
            <w:r>
              <w:t>Exportable evidence pack verifies integrity.</w:t>
            </w:r>
          </w:p>
        </w:tc>
        <w:tc>
          <w:tcPr>
            <w:tcW w:type="dxa" w:w="2045"/>
            <w:vAlign w:val="center"/>
          </w:tcPr>
          <w:p>
            <w:r>
              <w:t>Must</w:t>
            </w:r>
          </w:p>
        </w:tc>
      </w:tr>
      <w:tr>
        <w:tc>
          <w:tcPr>
            <w:tcW w:type="dxa" w:w="2045"/>
            <w:vAlign w:val="center"/>
            <w:shd w:fill="EAF3F4"/>
          </w:tcPr>
          <w:p>
            <w:r>
              <w:t>FR-MT-001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Tenant isolation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All data, retrieval, APIs, policies and logs are tenant scoped.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Automated cross-tenant penetration tests pass.</w:t>
            </w:r>
          </w:p>
        </w:tc>
        <w:tc>
          <w:tcPr>
            <w:tcW w:type="dxa" w:w="2045"/>
            <w:vAlign w:val="center"/>
            <w:shd w:fill="EAF3F4"/>
          </w:tcPr>
          <w:p>
            <w:r>
              <w:t>Must</w:t>
            </w:r>
          </w:p>
        </w:tc>
      </w:tr>
    </w:tbl>
    <w:p>
      <w:pPr>
        <w:pStyle w:val="Heading1"/>
      </w:pPr>
      <w:r>
        <w:t>3. Core workflows</w:t>
      </w:r>
    </w:p>
    <w:p>
      <w:pPr>
        <w:pStyle w:val="Heading2"/>
      </w:pPr>
      <w:r>
        <w:t>3.1 Ten-minute operating cycle</w:t>
      </w:r>
    </w:p>
    <w:p>
      <w:pPr>
        <w:pStyle w:val="ListNumber"/>
      </w:pPr>
      <w:r>
        <w:t>Scheduler/event detector opens a decision cycle and creates a correlation ID.</w:t>
      </w:r>
    </w:p>
    <w:p>
      <w:pPr>
        <w:pStyle w:val="ListNumber"/>
      </w:pPr>
      <w:r>
        <w:t>Data-quality agent assesses freshness, completeness and contradictions; digital twin creates the trusted snapshot.</w:t>
      </w:r>
    </w:p>
    <w:p>
      <w:pPr>
        <w:pStyle w:val="ListNumber"/>
      </w:pPr>
      <w:r>
        <w:t>Forecast agents produce updated probabilistic trajectories.</w:t>
      </w:r>
    </w:p>
    <w:p>
      <w:pPr>
        <w:pStyle w:val="ListNumber"/>
      </w:pPr>
      <w:r>
        <w:t>Scenario agent generates base, stress and contingency trajectories for the chosen horizon.</w:t>
      </w:r>
    </w:p>
    <w:p>
      <w:pPr>
        <w:pStyle w:val="ListNumber"/>
      </w:pPr>
      <w:r>
        <w:t>Optimisation service calculates a feasible portfolio schedule under objective policy and constraints.</w:t>
      </w:r>
    </w:p>
    <w:p>
      <w:pPr>
        <w:pStyle w:val="ListNumber"/>
      </w:pPr>
      <w:r>
        <w:t>Risk/critic agents independently challenge assumptions and compare alternatives.</w:t>
      </w:r>
    </w:p>
    <w:p>
      <w:pPr>
        <w:pStyle w:val="ListNumber"/>
      </w:pPr>
      <w:r>
        <w:t>Safety engine determines allowed actions and required approvals based on current mode.</w:t>
      </w:r>
    </w:p>
    <w:p>
      <w:pPr>
        <w:pStyle w:val="ListNumber"/>
      </w:pPr>
      <w:r>
        <w:t>Observe: store only. Recommend: publish recommendation. Approval: await authorised approval before expiry. Autonomous: commit only allowed low/medium-risk actions.</w:t>
      </w:r>
    </w:p>
    <w:p>
      <w:pPr>
        <w:pStyle w:val="ListNumber"/>
      </w:pPr>
      <w:r>
        <w:t>Command gateway executes via OT adapter and receives acknowledgement.</w:t>
      </w:r>
    </w:p>
    <w:p>
      <w:pPr>
        <w:pStyle w:val="ListNumber"/>
      </w:pPr>
      <w:r>
        <w:t>Telemetry reconciliation measures actual outcome; KPI and audit records are updated.</w:t>
      </w:r>
    </w:p>
    <w:p>
      <w:pPr>
        <w:pStyle w:val="Heading2"/>
      </w:pPr>
      <w:r>
        <w:t>3.2 Degraded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Condition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Required behaviour</w:t>
            </w:r>
          </w:p>
        </w:tc>
      </w:tr>
      <w:tr>
        <w:tc>
          <w:tcPr>
            <w:tcW w:type="dxa" w:w="5112"/>
            <w:vAlign w:val="center"/>
          </w:tcPr>
          <w:p>
            <w:r>
              <w:t>Cloud unavailable</w:t>
            </w:r>
          </w:p>
        </w:tc>
        <w:tc>
          <w:tcPr>
            <w:tcW w:type="dxa" w:w="5112"/>
            <w:vAlign w:val="center"/>
          </w:tcPr>
          <w:p>
            <w:r>
              <w:t>Edge continues safe data buffering and approved local fallback; no novel cloud command.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Telemetry stale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Freeze or reduce autonomy; use last-known safe plan only within configured TTL.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Forecast service failed</w:t>
            </w:r>
          </w:p>
        </w:tc>
        <w:tc>
          <w:tcPr>
            <w:tcW w:type="dxa" w:w="5112"/>
            <w:vAlign w:val="center"/>
          </w:tcPr>
          <w:p>
            <w:r>
              <w:t>Use labelled baseline forecast and increase reserves/risk penalty.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Optimiser timeout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Use last feasible rolling plan or deterministic rule-based fallback.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Command acknowledgement missing</w:t>
            </w:r>
          </w:p>
        </w:tc>
        <w:tc>
          <w:tcPr>
            <w:tcW w:type="dxa" w:w="5112"/>
            <w:vAlign w:val="center"/>
          </w:tcPr>
          <w:p>
            <w:r>
              <w:t>Do not assume success; reconcile state and escalate.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Conflicting operator/agent action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Operator/SCADA authority wins; conflict is logged.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Cybersecurity incident</w:t>
            </w:r>
          </w:p>
        </w:tc>
        <w:tc>
          <w:tcPr>
            <w:tcW w:type="dxa" w:w="5112"/>
            <w:vAlign w:val="center"/>
          </w:tcPr>
          <w:p>
            <w:r>
              <w:t>Revoke control tokens, isolate interfaces and enter Observe or approved safe mode.</w:t>
            </w:r>
          </w:p>
        </w:tc>
      </w:tr>
    </w:tbl>
    <w:p>
      <w:pPr>
        <w:pStyle w:val="Heading1"/>
      </w:pPr>
      <w:r>
        <w:t>4.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Role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Capabilities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t>Viewer</w:t>
            </w:r>
          </w:p>
        </w:tc>
        <w:tc>
          <w:tcPr>
            <w:tcW w:type="dxa" w:w="5112"/>
            <w:vAlign w:val="center"/>
          </w:tcPr>
          <w:p>
            <w:r>
              <w:t>Read dashboards and reports.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Operator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Acknowledge alerts, approve assigned actions and perform bounded override.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Senior operator</w:t>
            </w:r>
          </w:p>
        </w:tc>
        <w:tc>
          <w:tcPr>
            <w:tcW w:type="dxa" w:w="5112"/>
            <w:vAlign w:val="center"/>
          </w:tcPr>
          <w:p>
            <w:r>
              <w:t>Four-eyes approval, pause tenant/site and emergency stop.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Portfolio manager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Objective policies, scenario analysis and economic reports.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OT administrator</w:t>
            </w:r>
          </w:p>
        </w:tc>
        <w:tc>
          <w:tcPr>
            <w:tcW w:type="dxa" w:w="5112"/>
            <w:vAlign w:val="center"/>
          </w:tcPr>
          <w:p>
            <w:r>
              <w:t>Adapters, command envelopes and site control readiness.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Model administrator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Model registry, evaluation and deployment; cannot approve own control policy.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Tenant administrator</w:t>
            </w:r>
          </w:p>
        </w:tc>
        <w:tc>
          <w:tcPr>
            <w:tcW w:type="dxa" w:w="5112"/>
            <w:vAlign w:val="center"/>
          </w:tcPr>
          <w:p>
            <w:r>
              <w:t>Users, tenant settings and integrations; no unrestricted OT control by default.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Auditor/DPO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Read/export evidence and privacy records; no operational control.</w:t>
            </w:r>
          </w:p>
        </w:tc>
      </w:tr>
    </w:tbl>
    <w:p>
      <w:pPr>
        <w:pStyle w:val="Heading1"/>
      </w:pPr>
      <w:r>
        <w:t>5. Data retention and privacy functions</w:t>
      </w:r>
    </w:p>
    <w:p>
      <w:pPr>
        <w:pStyle w:val="ListBullet"/>
      </w:pPr>
      <w:r>
        <w:t>Configurable data classification: public, internal, confidential, personal, special-category personal, operationally sensitive.</w:t>
      </w:r>
    </w:p>
    <w:p>
      <w:pPr>
        <w:pStyle w:val="ListBullet"/>
      </w:pPr>
      <w:r>
        <w:t>PII detectors for names, emails, phone numbers, addresses, identifiers, free-text and configurable national identifiers.</w:t>
      </w:r>
    </w:p>
    <w:p>
      <w:pPr>
        <w:pStyle w:val="ListBullet"/>
      </w:pPr>
      <w:r>
        <w:t>Redaction at ingestion for agent and analytics zones; token vault separation when reversible pseudonymisation is required.</w:t>
      </w:r>
    </w:p>
    <w:p>
      <w:pPr>
        <w:pStyle w:val="ListBullet"/>
      </w:pPr>
      <w:r>
        <w:t>Purpose, legal basis, retention period and residency metadata attached to governed datasets.</w:t>
      </w:r>
    </w:p>
    <w:p>
      <w:pPr>
        <w:pStyle w:val="ListBullet"/>
      </w:pPr>
      <w:r>
        <w:t>DPIA workflow and records of processing activities integration.</w:t>
      </w:r>
    </w:p>
    <w:p>
      <w:pPr>
        <w:pStyle w:val="ListBullet"/>
      </w:pPr>
      <w:r>
        <w:t>Data-subject request search/export/delete subject to legal and operational exemptions.</w:t>
      </w:r>
    </w:p>
    <w:p>
      <w:pPr>
        <w:pStyle w:val="ListBullet"/>
      </w:pPr>
      <w:r>
        <w:t>Privacy leakage tests for prompts, retrieval, logs, exports and model-training pipelines.</w:t>
      </w:r>
    </w:p>
    <w:p>
      <w:pPr>
        <w:pStyle w:val="Heading1"/>
      </w:pPr>
      <w:r>
        <w:t>Reference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Source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Use in 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EU Electricity Regulation (EU) 2019/943</w:t>
            </w:r>
          </w:p>
        </w:tc>
        <w:tc>
          <w:tcPr>
            <w:tcW w:type="dxa" w:w="5112"/>
            <w:vAlign w:val="center"/>
          </w:tcPr>
          <w:p>
            <w:r>
              <w:t>Reference imbalance settlement period is 15 minutes, subject to applicable exemptions.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Commission Regulation (EU) 2017/2195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Electricity balancing and imbalance-settlement framework.</w:t>
            </w:r>
          </w:p>
        </w:tc>
      </w:tr>
      <w:tr>
        <w:tc>
          <w:tcPr>
            <w:tcW w:type="dxa" w:w="5112"/>
            <w:vAlign w:val="center"/>
          </w:tcPr>
          <w:p>
            <w:r>
              <w:t>GDPR Regulation (EU) 2016/679</w:t>
            </w:r>
          </w:p>
        </w:tc>
        <w:tc>
          <w:tcPr>
            <w:tcW w:type="dxa" w:w="5112"/>
            <w:vAlign w:val="center"/>
          </w:tcPr>
          <w:p>
            <w:r>
              <w:t>Data protection by design/default, data minimisation and DPIA obligations.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NIS2 Directive (EU) 2022/2555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Cybersecurity risk management applicable to relevant energy entities.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EU AI Act / European Commission guidance</w:t>
            </w:r>
          </w:p>
        </w:tc>
        <w:tc>
          <w:tcPr>
            <w:tcW w:type="dxa" w:w="5112"/>
            <w:vAlign w:val="center"/>
          </w:tcPr>
          <w:p>
            <w:r>
              <w:t>Potential high-risk treatment where AI is a safety component in critical infrastructure; classification must be assessed for the deployed use case.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IEC 62443 series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Industrial automation and control-system cybersecurity principles.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AWS IoT SiteWise and AWS IoT Greengrass official documentation</w:t>
            </w:r>
          </w:p>
        </w:tc>
        <w:tc>
          <w:tcPr>
            <w:tcW w:type="dxa" w:w="5112"/>
            <w:vAlign w:val="center"/>
          </w:tcPr>
          <w:p>
            <w:r>
              <w:t>AWS-specific industrial-edge and OPC UA implementation reference.</w:t>
            </w:r>
          </w:p>
        </w:tc>
      </w:tr>
    </w:tbl>
    <w:p>
      <w:r>
        <w:br w:type="page"/>
      </w:r>
    </w:p>
    <w:p>
      <w:pPr>
        <w:pStyle w:val="Heading1"/>
      </w:pPr>
      <w:r>
        <w:t>6. Platform functional requirements</w:t>
      </w:r>
    </w:p>
    <w:p>
      <w:r>
        <w:t>The following requirements extend the operating workflows with platform-level decision transparency, human approval, connector configuration and export functions.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Functional requirement</w:t>
            </w:r>
          </w:p>
        </w:tc>
        <w:tc>
          <w:tcPr>
            <w:tcW w:type="dxa" w:w="34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FR-DEC-001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Create a versioned decision record for each optimisation cycle and material re-plan.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Record contains decision ID, tenant, portfolio, interval, trigger, input snapshot references, alternatives, chosen action, objective scores, constraints, confidence, policy result and timestamps.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FR-DEC-002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Display all energy procurement, source switching, SCADA/EMS and BESS decisions in the dashboard.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Users can filter by asset, action type, autonomy mode, risk, status, interval and approver.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FR-DEC-003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Display machine-generated reasoning grounded in optimiser output, forecast evidence and policy results.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Reasoning identifies why the action was selected, why alternatives were rejected, expected impact and uncertainty.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FR-SIG-001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Generate a signal envelope for each executable action.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Envelope includes correlation ID, decision version, target, command, value, unit, validity window, safety limits, idempotency key and approval reference.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FR-SIG-002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Track the signal state machine.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States include draft, approval-required, approved, queued, sent, acknowledged, rejected, timed-out, retried, cancelled, rolled-back and reconciled.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FR-APP-001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Provide an approval inbox and decision detail screen.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Authorised human can approve, reject, request re-plan or modify only within policy-defined bounds.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FR-APP-002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Revalidate approved decisions immediately before execution.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Expired, superseded or newly unsafe actions are blocked and returned for re-plan or reapproval.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FR-CON-001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Provide a Connector Studio for authorised users.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User can enter endpoint/broker details, authentication profile, headers, schema mapping, timeout, retry, rate limit and approval policy.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FR-CON-002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Protect credentials and certificates.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Platform writes secrets directly to the vault, stores only a secret reference, masks values and prohibits retrieval in clear text.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FR-CON-003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Test and promote connectors.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Platform supports connectivity test, contract test, dry run, sandbox/production separation, maker-checker approval and emergency disable.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FR-EXP-001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Export decisions and signals to Excel using dashboard filters.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Workbook contains Decisions, Signals, Reasoning, Approvals, Acknowledgements and Metadata sheets; large exports run asynchronously.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FR-EXP-002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Govern exports.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Platform enforces tenant scope, RBAC, redaction, row limits, malware-safe generation, checksum, expiry and download audit.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FR-PLT-001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Provision and configure tenants through a platform control plane.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Tenant setup includes branding, time zone, units, market settings, asset model, policies, users, connectors and retention.</w:t>
            </w:r>
          </w:p>
        </w:tc>
      </w:tr>
      <w:tr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FR-PLT-002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Support platform and tenant administration roles.</w:t>
            </w:r>
          </w:p>
        </w:tc>
        <w:tc>
          <w:tcPr>
            <w:tcW w:type="dxa" w:w="3408"/>
            <w:vAlign w:val="top"/>
            <w:shd w:fill="DCE6F1"/>
          </w:tcPr>
          <w:p>
            <w:r>
              <w:rPr>
                <w:sz w:val="17"/>
              </w:rPr>
              <w:t>Platform administrators cannot access tenant operational data by default; break-glass access is approved and logged.</w:t>
            </w:r>
          </w:p>
        </w:tc>
      </w:tr>
    </w:tbl>
    <w:p/>
    <w:p>
      <w:r>
        <w:rPr>
          <w:b/>
        </w:rPr>
        <w:t xml:space="preserve">Version 1.1 update scope: </w:t>
      </w:r>
      <w:r>
        <w:t>Platform product positioning; complete decision/signal dashboard lineage; governed Excel export; human-configurable API integration and authentication; approval-gated execution; and strengthened multi-tenant, OT and connector security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6E"/>
        <w:sz w:val="16"/>
      </w:rPr>
      <w:t xml:space="preserve">Confidential client proposal  •  v1.0  •  23 September 2026 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96E"/>
        <w:sz w:val="16"/>
      </w:rPr>
      <w:t>Renewable Energy Orchestrator (REO)  |  Functional Requirements Document (FRD)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37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D37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3E60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