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007078"/>
          <w:sz w:val="56"/>
        </w:rPr>
        <w:t>Renewable Energy Orchestrator (REO)</w:t>
      </w:r>
    </w:p>
    <w:p>
      <w:pPr>
        <w:jc w:val="center"/>
      </w:pPr>
      <w:r>
        <w:rPr>
          <w:b/>
          <w:color w:val="0D3749"/>
          <w:sz w:val="48"/>
        </w:rPr>
        <w:t>Technical Requirements Document (TRD)</w:t>
      </w:r>
    </w:p>
    <w:p>
      <w:pPr>
        <w:jc w:val="center"/>
      </w:pPr>
      <w:r>
        <w:rPr>
          <w:color w:val="505F64"/>
          <w:sz w:val="24"/>
        </w:rPr>
        <w:t>Client-ready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5112"/>
          </w:tcPr>
          <w:p>
            <w:r>
              <w:t>1.1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5112"/>
          </w:tcPr>
          <w:p>
            <w:r>
              <w:t>23 September 2026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Deployment</w:t>
            </w:r>
          </w:p>
        </w:tc>
        <w:tc>
          <w:tcPr>
            <w:tcW w:type="dxa" w:w="5112"/>
          </w:tcPr>
          <w:p>
            <w:r>
              <w:t>Cloud-neutral; first client on AWS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Market</w:t>
            </w:r>
          </w:p>
        </w:tc>
        <w:tc>
          <w:tcPr>
            <w:tcW w:type="dxa" w:w="5112"/>
          </w:tcPr>
          <w:p>
            <w:r>
              <w:t>European electricity market; GDPR applicable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Classification</w:t>
            </w:r>
          </w:p>
        </w:tc>
        <w:tc>
          <w:tcPr>
            <w:tcW w:type="dxa" w:w="5112"/>
          </w:tcPr>
          <w:p>
            <w:r>
              <w:t>Confidential — client proposal</w:t>
            </w:r>
          </w:p>
        </w:tc>
      </w:tr>
    </w:tbl>
    <w:p>
      <w:r>
        <w:br w:type="page"/>
      </w:r>
    </w:p>
    <w:p>
      <w:pPr>
        <w:pStyle w:val="Heading1"/>
      </w:pPr>
      <w:r>
        <w:t>1. Technical strategy</w:t>
      </w:r>
    </w:p>
    <w:p>
      <w:r>
        <w:t>Use a cloud-neutral, containerised microservice architecture with industrial edge gateways. The optimisation and safety services are deterministic and independently testable. Generative AI is restricted to unstructured-data extraction, workflow coordination, critique and natural-language explanation; it is never the final authority for physical control.</w:t>
      </w:r>
    </w:p>
    <w:p>
      <w:pPr>
        <w:pStyle w:val="Heading1"/>
      </w:pPr>
      <w:r>
        <w:t>2. Logical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Layer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Cloud-neutral component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AWS implementation 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Edge</w:t>
            </w:r>
          </w:p>
        </w:tc>
        <w:tc>
          <w:tcPr>
            <w:tcW w:type="dxa" w:w="3408"/>
            <w:vAlign w:val="center"/>
          </w:tcPr>
          <w:p>
            <w:r>
              <w:t>Linux industrial gateway, container runtime, OPC UA/MQTT/IEC adapters, local buffer and command proxy</w:t>
            </w:r>
          </w:p>
        </w:tc>
        <w:tc>
          <w:tcPr>
            <w:tcW w:type="dxa" w:w="3408"/>
            <w:vAlign w:val="center"/>
          </w:tcPr>
          <w:p>
            <w:r>
              <w:t>AWS IoT Greengrass V2; IoT SiteWise/partner or custom OPC UA collectors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API/ingress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API gateway, ingress controller, WAF, service mesh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Amazon API Gateway/ALB, AWS WAF, EKS ingress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Streaming</w:t>
            </w:r>
          </w:p>
        </w:tc>
        <w:tc>
          <w:tcPr>
            <w:tcW w:type="dxa" w:w="3408"/>
            <w:vAlign w:val="center"/>
          </w:tcPr>
          <w:p>
            <w:r>
              <w:t>Kafka-compatible event bus, MQTT broker, schema registry</w:t>
            </w:r>
          </w:p>
        </w:tc>
        <w:tc>
          <w:tcPr>
            <w:tcW w:type="dxa" w:w="3408"/>
            <w:vAlign w:val="center"/>
          </w:tcPr>
          <w:p>
            <w:r>
              <w:t>Amazon MSK, AWS IoT Core, Glue Schema Registry or self-managed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Workflow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Kubernetes jobs/services, workflow engine, durable scheduler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Amazon EKS, Step Functions or Temporal on 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Operational data</w:t>
            </w:r>
          </w:p>
        </w:tc>
        <w:tc>
          <w:tcPr>
            <w:tcW w:type="dxa" w:w="3408"/>
            <w:vAlign w:val="center"/>
          </w:tcPr>
          <w:p>
            <w:r>
              <w:t>PostgreSQL, time-series extension/database, Redis</w:t>
            </w:r>
          </w:p>
        </w:tc>
        <w:tc>
          <w:tcPr>
            <w:tcW w:type="dxa" w:w="3408"/>
            <w:vAlign w:val="center"/>
          </w:tcPr>
          <w:p>
            <w:r>
              <w:t>Amazon Aurora PostgreSQL, Timestream or TimescaleDB on RDS/EKS, ElastiCache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Lakehouse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Object storage, open table format, catalogue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Amazon S3, Iceberg, AWS Glue Data Catalog</w:t>
            </w:r>
          </w:p>
        </w:tc>
      </w:tr>
      <w:tr>
        <w:tc>
          <w:tcPr>
            <w:tcW w:type="dxa" w:w="3408"/>
            <w:vAlign w:val="center"/>
          </w:tcPr>
          <w:p>
            <w:r>
              <w:t>Optimisation</w:t>
            </w:r>
          </w:p>
        </w:tc>
        <w:tc>
          <w:tcPr>
            <w:tcW w:type="dxa" w:w="3408"/>
            <w:vAlign w:val="center"/>
          </w:tcPr>
          <w:p>
            <w:r>
              <w:t>Python/Java service with LP/MILP/QP/stochastic solver abstraction</w:t>
            </w:r>
          </w:p>
        </w:tc>
        <w:tc>
          <w:tcPr>
            <w:tcW w:type="dxa" w:w="3408"/>
            <w:vAlign w:val="center"/>
          </w:tcPr>
          <w:p>
            <w:r>
              <w:t>EKS compute nodes; commercial solver licence optional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ML/MLOps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Model registry, feature pipelines, serving, monitoring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SageMaker or MLflow/KServe on 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Agent runtime</w:t>
            </w:r>
          </w:p>
        </w:tc>
        <w:tc>
          <w:tcPr>
            <w:tcW w:type="dxa" w:w="3408"/>
            <w:vAlign w:val="center"/>
          </w:tcPr>
          <w:p>
            <w:r>
              <w:t>Model gateway, typed tools, retrieval, policy enforcement</w:t>
            </w:r>
          </w:p>
        </w:tc>
        <w:tc>
          <w:tcPr>
            <w:tcW w:type="dxa" w:w="3408"/>
            <w:vAlign w:val="center"/>
          </w:tcPr>
          <w:p>
            <w:r>
              <w:t>Managed model service or self-hosted model through private endpoints; vendor-neutral adapter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Identity/secrets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OIDC/SAML, MFA, secrets and key management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IAM Identity Center/Cognito federation, Secrets Manager, KMS</w:t>
            </w:r>
          </w:p>
        </w:tc>
      </w:tr>
      <w:tr>
        <w:tc>
          <w:tcPr>
            <w:tcW w:type="dxa" w:w="3408"/>
            <w:vAlign w:val="center"/>
          </w:tcPr>
          <w:p>
            <w:r>
              <w:t>Observability</w:t>
            </w:r>
          </w:p>
        </w:tc>
        <w:tc>
          <w:tcPr>
            <w:tcW w:type="dxa" w:w="3408"/>
            <w:vAlign w:val="center"/>
          </w:tcPr>
          <w:p>
            <w:r>
              <w:t>OpenTelemetry, metrics, logs, traces, SIEM export</w:t>
            </w:r>
          </w:p>
        </w:tc>
        <w:tc>
          <w:tcPr>
            <w:tcW w:type="dxa" w:w="3408"/>
            <w:vAlign w:val="center"/>
          </w:tcPr>
          <w:p>
            <w:r>
              <w:t>CloudWatch, Managed Prometheus/Grafana, OpenSearch, Security Hub integration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CI/CD/IaC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Git, pipeline, image registry, Terraform/OpenTofu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CodePipeline or enterprise CI, ECR, Terraform</w:t>
            </w:r>
          </w:p>
        </w:tc>
      </w:tr>
    </w:tbl>
    <w:p>
      <w:pPr>
        <w:pStyle w:val="Heading1"/>
      </w:pPr>
      <w:r>
        <w:t>3. Canonical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Entity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Key attributes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Tenant</w:t>
            </w:r>
          </w:p>
        </w:tc>
        <w:tc>
          <w:tcPr>
            <w:tcW w:type="dxa" w:w="5112"/>
            <w:vAlign w:val="center"/>
          </w:tcPr>
          <w:p>
            <w:r>
              <w:t>tenant_id, residency, policies, keys, quotas, deployment mode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Portfolio/Site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location, timezone, market area, grid connection, topology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Asset</w:t>
            </w:r>
          </w:p>
        </w:tc>
        <w:tc>
          <w:tcPr>
            <w:tcW w:type="dxa" w:w="5112"/>
            <w:vAlign w:val="center"/>
          </w:tcPr>
          <w:p>
            <w:r>
              <w:t>type, rating, capability curve, ramp, availability, owner, control endpoint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Battery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SoC, SoH, energy/power limits, efficiencies, temperature, degradation model, warranty</w:t>
            </w:r>
          </w:p>
        </w:tc>
      </w:tr>
      <w:tr>
        <w:tc>
          <w:tcPr>
            <w:tcW w:type="dxa" w:w="5112"/>
            <w:vAlign w:val="center"/>
          </w:tcPr>
          <w:p>
            <w:r>
              <w:t>Telemetry</w:t>
            </w:r>
          </w:p>
        </w:tc>
        <w:tc>
          <w:tcPr>
            <w:tcW w:type="dxa" w:w="5112"/>
            <w:vAlign w:val="center"/>
          </w:tcPr>
          <w:p>
            <w:r>
              <w:t>asset_id, metric, event_time, ingest_time, value, unit, quality, source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Forecast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variable, issue_time, valid_time, quantile/scenario, value, model_version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Constraint</w:t>
            </w:r>
          </w:p>
        </w:tc>
        <w:tc>
          <w:tcPr>
            <w:tcW w:type="dxa" w:w="5112"/>
            <w:vAlign w:val="center"/>
          </w:tcPr>
          <w:p>
            <w:r>
              <w:t>scope, expression/type, hard/soft, limit, effective period, source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Objective policy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priority/weight, penalty, risk metric, carbon price, version, approver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Decision</w:t>
            </w:r>
          </w:p>
        </w:tc>
        <w:tc>
          <w:tcPr>
            <w:tcW w:type="dxa" w:w="5112"/>
            <w:vAlign w:val="center"/>
          </w:tcPr>
          <w:p>
            <w:r>
              <w:t>snapshot, horizon, plan, alternatives, scores, confidence, status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Action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asset, action_type, quantity, start/end, envelope, expiry, risk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Approval</w:t>
            </w:r>
          </w:p>
        </w:tc>
        <w:tc>
          <w:tcPr>
            <w:tcW w:type="dxa" w:w="5112"/>
            <w:vAlign w:val="center"/>
          </w:tcPr>
          <w:p>
            <w:r>
              <w:t>decision/action, approver, outcome, reason, timestamp, signature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Command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action, adapter, prepare/commit/ack status, idempotency key,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 event</w:t>
            </w:r>
          </w:p>
        </w:tc>
        <w:tc>
          <w:tcPr>
            <w:tcW w:type="dxa" w:w="5112"/>
            <w:vAlign w:val="center"/>
          </w:tcPr>
          <w:p>
            <w:r>
              <w:t>actor, tenant, event, hash chain, timestamp, evidence pointer</w:t>
            </w:r>
          </w:p>
        </w:tc>
      </w:tr>
    </w:tbl>
    <w:p>
      <w:pPr>
        <w:pStyle w:val="Heading1"/>
      </w:pPr>
      <w:r>
        <w:t>4. Optimisation requirements</w:t>
      </w:r>
    </w:p>
    <w:p>
      <w:r>
        <w:t>Reference formulation: rolling-horizon mixed-integer linear or quadratic optimisation, with stochastic/scenario extensions. Non-linear equipment effects may be piecewise-linearised or solved using specialised methods after performance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Type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Requirements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Decision variables</w:t>
            </w:r>
          </w:p>
        </w:tc>
        <w:tc>
          <w:tcPr>
            <w:tcW w:type="dxa" w:w="5112"/>
            <w:vAlign w:val="center"/>
          </w:tcPr>
          <w:p>
            <w:r>
              <w:t>Generation used/curtailed; battery charge/discharge/SoC/reserve; grid import/export; demand response/shift; market positions; maintenance recommendation.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Hard constraints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Nodal/portfolio power balance, grid import/export and transmission limits, SoC bounds, charge/discharge limits, efficiencies, ramp rates, minimum up/down where applicable, availability, reserve, mutually exclusive states, command envelopes.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Soft constraints</w:t>
            </w:r>
          </w:p>
        </w:tc>
        <w:tc>
          <w:tcPr>
            <w:tcW w:type="dxa" w:w="5112"/>
            <w:vAlign w:val="center"/>
          </w:tcPr>
          <w:p>
            <w:r>
              <w:t>Preference violations represented with explicit penalties and audit-visible slack variables.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Objectives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Cost + imbalance exposure + degradation + carbon + curtailment + reliability penalty − market/demand-response revenue.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Multi-objective methods</w:t>
            </w:r>
          </w:p>
        </w:tc>
        <w:tc>
          <w:tcPr>
            <w:tcW w:type="dxa" w:w="5112"/>
            <w:vAlign w:val="center"/>
          </w:tcPr>
          <w:p>
            <w:r>
              <w:t>Lexicographic safety/reliability first; weighted economic/environmental objectives; ε-constraints for emissions/curtailment; Pareto alternatives.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Risk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Expected value plus CVaR/worst-case stress limits; configurable chance constraints where validated.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Horizons</w:t>
            </w:r>
          </w:p>
        </w:tc>
        <w:tc>
          <w:tcPr>
            <w:tcW w:type="dxa" w:w="5112"/>
            <w:vAlign w:val="center"/>
          </w:tcPr>
          <w:p>
            <w:r>
              <w:t>12h, 24h, 48h and 7d; variable granularity may use 10-min near-term and coarser far-term intervals.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Settlement mapping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Aggregate 10-minute dispatch into the configured national market time unit; baseline defaults to 15-minute EU imbalance settlement, with 30-minute support by jurisdiction.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Normal solve target ≤90 sec within 120-sec cycle; fast feasible plan ≤20 sec for event re-plan.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Verification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Independent feasibility checker re-evaluates every action using current state and a separately implemented constraint subset.</w:t>
            </w:r>
          </w:p>
        </w:tc>
      </w:tr>
    </w:tbl>
    <w:p>
      <w:pPr>
        <w:pStyle w:val="Heading1"/>
      </w:pPr>
      <w:r>
        <w:t>5. Agent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0D3749"/>
            <w:vAlign w:val="center"/>
          </w:tcPr>
          <w:p>
            <w:r>
              <w:rPr>
                <w:color w:val="FFFFFF"/>
              </w:rPr>
              <w:t>Agent</w:t>
            </w:r>
          </w:p>
        </w:tc>
        <w:tc>
          <w:tcPr>
            <w:tcW w:type="dxa" w:w="2556"/>
            <w:shd w:fill="0D3749"/>
            <w:vAlign w:val="center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2556"/>
            <w:shd w:fill="0D3749"/>
            <w:vAlign w:val="center"/>
          </w:tcPr>
          <w:p>
            <w:r>
              <w:rPr>
                <w:color w:val="FFFFFF"/>
              </w:rPr>
              <w:t>Permitted tools</w:t>
            </w:r>
          </w:p>
        </w:tc>
        <w:tc>
          <w:tcPr>
            <w:tcW w:type="dxa" w:w="2556"/>
            <w:shd w:fill="0D3749"/>
            <w:vAlign w:val="center"/>
          </w:tcPr>
          <w:p>
            <w:r>
              <w:rPr>
                <w:color w:val="FFFFFF"/>
              </w:rPr>
              <w:t>Prohibited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Orchestrator</w:t>
            </w:r>
          </w:p>
        </w:tc>
        <w:tc>
          <w:tcPr>
            <w:tcW w:type="dxa" w:w="2556"/>
            <w:vAlign w:val="center"/>
          </w:tcPr>
          <w:p>
            <w:r>
              <w:t>Create workflow and collect typed outputs</w:t>
            </w:r>
          </w:p>
        </w:tc>
        <w:tc>
          <w:tcPr>
            <w:tcW w:type="dxa" w:w="2556"/>
            <w:vAlign w:val="center"/>
          </w:tcPr>
          <w:p>
            <w:r>
              <w:t>Workflow API, read-only state, policy query</w:t>
            </w:r>
          </w:p>
        </w:tc>
        <w:tc>
          <w:tcPr>
            <w:tcW w:type="dxa" w:w="2556"/>
            <w:vAlign w:val="center"/>
          </w:tcPr>
          <w:p>
            <w:r>
              <w:t>Physical command</w:t>
            </w:r>
          </w:p>
        </w:tc>
      </w:tr>
      <w:tr>
        <w:tc>
          <w:tcPr>
            <w:tcW w:type="dxa" w:w="2556"/>
            <w:vAlign w:val="center"/>
            <w:shd w:fill="EAF3F4"/>
          </w:tcPr>
          <w:p>
            <w:r>
              <w:t>Data-quality agent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Diagnose missing/stale/contradictory inputs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Data catalogue, quality API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Changing raw source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Forecast agent</w:t>
            </w:r>
          </w:p>
        </w:tc>
        <w:tc>
          <w:tcPr>
            <w:tcW w:type="dxa" w:w="2556"/>
            <w:vAlign w:val="center"/>
          </w:tcPr>
          <w:p>
            <w:r>
              <w:t>Select approved forecast and interpret uncertainty</w:t>
            </w:r>
          </w:p>
        </w:tc>
        <w:tc>
          <w:tcPr>
            <w:tcW w:type="dxa" w:w="2556"/>
            <w:vAlign w:val="center"/>
          </w:tcPr>
          <w:p>
            <w:r>
              <w:t>Model registry, forecast API</w:t>
            </w:r>
          </w:p>
        </w:tc>
        <w:tc>
          <w:tcPr>
            <w:tcW w:type="dxa" w:w="2556"/>
            <w:vAlign w:val="center"/>
          </w:tcPr>
          <w:p>
            <w:r>
              <w:t>Deploying unapproved model</w:t>
            </w:r>
          </w:p>
        </w:tc>
      </w:tr>
      <w:tr>
        <w:tc>
          <w:tcPr>
            <w:tcW w:type="dxa" w:w="2556"/>
            <w:vAlign w:val="center"/>
            <w:shd w:fill="EAF3F4"/>
          </w:tcPr>
          <w:p>
            <w:r>
              <w:t>Asset agent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Assess capability, health and maintenance impacts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Digital twin, maintenance records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Override equipment limits</w:t>
            </w:r>
          </w:p>
        </w:tc>
      </w:tr>
      <w:tr>
        <w:tc>
          <w:tcPr>
            <w:tcW w:type="dxa" w:w="2556"/>
            <w:vAlign w:val="center"/>
          </w:tcPr>
          <w:p>
            <w:r>
              <w:t>Market agent</w:t>
            </w:r>
          </w:p>
        </w:tc>
        <w:tc>
          <w:tcPr>
            <w:tcW w:type="dxa" w:w="2556"/>
            <w:vAlign w:val="center"/>
          </w:tcPr>
          <w:p>
            <w:r>
              <w:t>Interpret prices, positions and deadlines</w:t>
            </w:r>
          </w:p>
        </w:tc>
        <w:tc>
          <w:tcPr>
            <w:tcW w:type="dxa" w:w="2556"/>
            <w:vAlign w:val="center"/>
          </w:tcPr>
          <w:p>
            <w:r>
              <w:t>Market API, contract data</w:t>
            </w:r>
          </w:p>
        </w:tc>
        <w:tc>
          <w:tcPr>
            <w:tcW w:type="dxa" w:w="2556"/>
            <w:vAlign w:val="center"/>
          </w:tcPr>
          <w:p>
            <w:r>
              <w:t>Unauthorised market order</w:t>
            </w:r>
          </w:p>
        </w:tc>
      </w:tr>
      <w:tr>
        <w:tc>
          <w:tcPr>
            <w:tcW w:type="dxa" w:w="2556"/>
            <w:vAlign w:val="center"/>
            <w:shd w:fill="EAF3F4"/>
          </w:tcPr>
          <w:p>
            <w:r>
              <w:t>Grid agent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Assess network constraints and reliability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Topology, constraints, alarms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Change relay/protection settings</w:t>
            </w:r>
          </w:p>
        </w:tc>
      </w:tr>
      <w:tr>
        <w:tc>
          <w:tcPr>
            <w:tcW w:type="dxa" w:w="2556"/>
            <w:vAlign w:val="center"/>
          </w:tcPr>
          <w:p>
            <w:r>
              <w:t>Optimisation agent</w:t>
            </w:r>
          </w:p>
        </w:tc>
        <w:tc>
          <w:tcPr>
            <w:tcW w:type="dxa" w:w="2556"/>
            <w:vAlign w:val="center"/>
          </w:tcPr>
          <w:p>
            <w:r>
              <w:t>Prepare structured optimisation request and summarise result</w:t>
            </w:r>
          </w:p>
        </w:tc>
        <w:tc>
          <w:tcPr>
            <w:tcW w:type="dxa" w:w="2556"/>
            <w:vAlign w:val="center"/>
          </w:tcPr>
          <w:p>
            <w:r>
              <w:t>Optimiser API</w:t>
            </w:r>
          </w:p>
        </w:tc>
        <w:tc>
          <w:tcPr>
            <w:tcW w:type="dxa" w:w="2556"/>
            <w:vAlign w:val="center"/>
          </w:tcPr>
          <w:p>
            <w:r>
              <w:t>Alter solver result or issue command</w:t>
            </w:r>
          </w:p>
        </w:tc>
      </w:tr>
      <w:tr>
        <w:tc>
          <w:tcPr>
            <w:tcW w:type="dxa" w:w="2556"/>
            <w:vAlign w:val="center"/>
            <w:shd w:fill="EAF3F4"/>
          </w:tcPr>
          <w:p>
            <w:r>
              <w:t>Risk/Critic agent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Challenge feasibility, uncertainty and policy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Read-only plan/evidence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Approve own plan</w:t>
            </w:r>
          </w:p>
        </w:tc>
      </w:tr>
      <w:tr>
        <w:tc>
          <w:tcPr>
            <w:tcW w:type="dxa" w:w="2556"/>
            <w:vAlign w:val="center"/>
          </w:tcPr>
          <w:p>
            <w:r>
              <w:t>Explanation agent</w:t>
            </w:r>
          </w:p>
        </w:tc>
        <w:tc>
          <w:tcPr>
            <w:tcW w:type="dxa" w:w="2556"/>
            <w:vAlign w:val="center"/>
          </w:tcPr>
          <w:p>
            <w:r>
              <w:t>Generate operator explanation from evidence</w:t>
            </w:r>
          </w:p>
        </w:tc>
        <w:tc>
          <w:tcPr>
            <w:tcW w:type="dxa" w:w="2556"/>
            <w:vAlign w:val="center"/>
          </w:tcPr>
          <w:p>
            <w:r>
              <w:t>Decision evidence only</w:t>
            </w:r>
          </w:p>
        </w:tc>
        <w:tc>
          <w:tcPr>
            <w:tcW w:type="dxa" w:w="2556"/>
            <w:vAlign w:val="center"/>
          </w:tcPr>
          <w:p>
            <w:r>
              <w:t>Invent unsupported rationale</w:t>
            </w:r>
          </w:p>
        </w:tc>
      </w:tr>
      <w:tr>
        <w:tc>
          <w:tcPr>
            <w:tcW w:type="dxa" w:w="2556"/>
            <w:vAlign w:val="center"/>
            <w:shd w:fill="EAF3F4"/>
          </w:tcPr>
          <w:p>
            <w:r>
              <w:t>Governance agent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Route approvals and monitor policy compliance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Policy/approval APIs</w:t>
            </w:r>
          </w:p>
        </w:tc>
        <w:tc>
          <w:tcPr>
            <w:tcW w:type="dxa" w:w="2556"/>
            <w:vAlign w:val="center"/>
            <w:shd w:fill="EAF3F4"/>
          </w:tcPr>
          <w:p>
            <w:r>
              <w:t>Relax hard constraints</w:t>
            </w:r>
          </w:p>
        </w:tc>
      </w:tr>
    </w:tbl>
    <w:p>
      <w:pPr>
        <w:pStyle w:val="Heading1"/>
      </w:pPr>
      <w:r>
        <w:t>6. Agent and model guardrails</w:t>
      </w:r>
    </w:p>
    <w:p>
      <w:pPr>
        <w:pStyle w:val="ListBullet"/>
      </w:pPr>
      <w:r>
        <w:t>Typed JSON schemas; reject free-form tool parameters.</w:t>
      </w:r>
    </w:p>
    <w:p>
      <w:pPr>
        <w:pStyle w:val="ListBullet"/>
      </w:pPr>
      <w:r>
        <w:t>Per-agent allow-list, least-privilege service identity and tenant-scoped retrieval.</w:t>
      </w:r>
    </w:p>
    <w:p>
      <w:pPr>
        <w:pStyle w:val="ListBullet"/>
      </w:pPr>
      <w:r>
        <w:t>Prompt-injection screening for uploaded documents and retrieved content; external content is treated as data, not instructions.</w:t>
      </w:r>
    </w:p>
    <w:p>
      <w:pPr>
        <w:pStyle w:val="ListBullet"/>
      </w:pPr>
      <w:r>
        <w:t>PII redaction before model calls; configurable no-external-model policy.</w:t>
      </w:r>
    </w:p>
    <w:p>
      <w:pPr>
        <w:pStyle w:val="ListBullet"/>
      </w:pPr>
      <w:r>
        <w:t>No training on tenant content without explicit agreement.</w:t>
      </w:r>
    </w:p>
    <w:p>
      <w:pPr>
        <w:pStyle w:val="ListBullet"/>
      </w:pPr>
      <w:r>
        <w:t>Grounded explanations include source/evidence references and uncertainty; unsupported claims are suppressed.</w:t>
      </w:r>
    </w:p>
    <w:p>
      <w:pPr>
        <w:pStyle w:val="ListBullet"/>
      </w:pPr>
      <w:r>
        <w:t>Model gateway records model/version, tokens, latency, safety results and data classification.</w:t>
      </w:r>
    </w:p>
    <w:p>
      <w:pPr>
        <w:pStyle w:val="ListBullet"/>
      </w:pPr>
      <w:r>
        <w:t>Dual-model or rule-based critic for high-impact recommendations where justified.</w:t>
      </w:r>
    </w:p>
    <w:p>
      <w:pPr>
        <w:pStyle w:val="ListBullet"/>
      </w:pPr>
      <w:r>
        <w:t>Kill switch, rate limits, budget limits and automatic downgrade to deterministic workflow.</w:t>
      </w:r>
    </w:p>
    <w:p>
      <w:pPr>
        <w:pStyle w:val="Heading1"/>
      </w:pPr>
      <w:r>
        <w:t>7. API and event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Interface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REST</w:t>
            </w:r>
          </w:p>
        </w:tc>
        <w:tc>
          <w:tcPr>
            <w:tcW w:type="dxa" w:w="5112"/>
            <w:vAlign w:val="center"/>
          </w:tcPr>
          <w:p>
            <w:r>
              <w:t>OpenAPI 3.x, OAuth2/OIDC, tenant context, idempotency, pagination, rate limits and correlation IDs.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Events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CloudEvents-compatible envelope; Avro/JSON Schema; schema compatibility and replay.</w:t>
            </w:r>
          </w:p>
        </w:tc>
      </w:tr>
      <w:tr>
        <w:tc>
          <w:tcPr>
            <w:tcW w:type="dxa" w:w="5112"/>
            <w:vAlign w:val="center"/>
          </w:tcPr>
          <w:p>
            <w:r>
              <w:t>MQTT</w:t>
            </w:r>
          </w:p>
        </w:tc>
        <w:tc>
          <w:tcPr>
            <w:tcW w:type="dxa" w:w="5112"/>
            <w:vAlign w:val="center"/>
          </w:tcPr>
          <w:p>
            <w:r>
              <w:t>mTLS, topic-level authorisation, QoS policy, retained-message restrictions.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Kafka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TLS/SASL, per-tenant topic or enforced tenant key, consumer lag monitoring, dead-letter topics.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OPC UA</w:t>
            </w:r>
          </w:p>
        </w:tc>
        <w:tc>
          <w:tcPr>
            <w:tcW w:type="dxa" w:w="5112"/>
            <w:vAlign w:val="center"/>
          </w:tcPr>
          <w:p>
            <w:r>
              <w:t>Secure policy/certificates, source timestamps and quality, namespace mapping, subscription limits.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IEC adapters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Use certified/approved gateway where required; isolated adapter converts to canonical telemetry/command model.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JDBC</w:t>
            </w:r>
          </w:p>
        </w:tc>
        <w:tc>
          <w:tcPr>
            <w:tcW w:type="dxa" w:w="5112"/>
            <w:vAlign w:val="center"/>
          </w:tcPr>
          <w:p>
            <w:r>
              <w:t>Secrets vault, read-only default, allow-listed queries, CDC/watermarks and connection pooling.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Files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Malware scan, checksum, size/type limits, content disarm where needed and quarantine.</w:t>
            </w:r>
          </w:p>
        </w:tc>
      </w:tr>
    </w:tbl>
    <w:p>
      <w:pPr>
        <w:pStyle w:val="Heading1"/>
      </w:pPr>
      <w:r>
        <w:t>8.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Requirement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SEC-01</w:t>
            </w:r>
          </w:p>
        </w:tc>
        <w:tc>
          <w:tcPr>
            <w:tcW w:type="dxa" w:w="3408"/>
            <w:vAlign w:val="center"/>
          </w:tcPr>
          <w:p>
            <w:r>
              <w:t>Network segmentation</w:t>
            </w:r>
          </w:p>
        </w:tc>
        <w:tc>
          <w:tcPr>
            <w:tcW w:type="dxa" w:w="3408"/>
            <w:vAlign w:val="center"/>
          </w:tcPr>
          <w:p>
            <w:r>
              <w:t>Separate corporate, cloud, DMZ and OT zones; default deny and one-way/initiated connections where feasible.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SEC-02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Identity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SSO, MFA, short-lived workload identity, RBAC+ABAC and segregation of duties.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SEC-03</w:t>
            </w:r>
          </w:p>
        </w:tc>
        <w:tc>
          <w:tcPr>
            <w:tcW w:type="dxa" w:w="3408"/>
            <w:vAlign w:val="center"/>
          </w:tcPr>
          <w:p>
            <w:r>
              <w:t>Encryption</w:t>
            </w:r>
          </w:p>
        </w:tc>
        <w:tc>
          <w:tcPr>
            <w:tcW w:type="dxa" w:w="3408"/>
            <w:vAlign w:val="center"/>
          </w:tcPr>
          <w:p>
            <w:r>
              <w:t>TLS 1.2+ in transit; strong encryption at rest; tenant/customer-managed keys supported.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SEC-04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Secrets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No embedded credentials; central secrets vault, rotation and access auditing.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SEC-05</w:t>
            </w:r>
          </w:p>
        </w:tc>
        <w:tc>
          <w:tcPr>
            <w:tcW w:type="dxa" w:w="3408"/>
            <w:vAlign w:val="center"/>
          </w:tcPr>
          <w:p>
            <w:r>
              <w:t>Command signing</w:t>
            </w:r>
          </w:p>
        </w:tc>
        <w:tc>
          <w:tcPr>
            <w:tcW w:type="dxa" w:w="3408"/>
            <w:vAlign w:val="center"/>
          </w:tcPr>
          <w:p>
            <w:r>
              <w:t>Commands and policy bundles digitally signed; edge verifies signature, tenant, expiry and nonce.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SEC-06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Audit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Append-only/tamper-evident audit with restricted delete and time synchronisation.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SEC-07</w:t>
            </w:r>
          </w:p>
        </w:tc>
        <w:tc>
          <w:tcPr>
            <w:tcW w:type="dxa" w:w="3408"/>
            <w:vAlign w:val="center"/>
          </w:tcPr>
          <w:p>
            <w:r>
              <w:t>Supply chain</w:t>
            </w:r>
          </w:p>
        </w:tc>
        <w:tc>
          <w:tcPr>
            <w:tcW w:type="dxa" w:w="3408"/>
            <w:vAlign w:val="center"/>
          </w:tcPr>
          <w:p>
            <w:r>
              <w:t>SBOM, signed images, dependency scanning, SAST/DAST, provenance and admission policy.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SEC-08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Vulnerability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Risk-based patch SLA; critical internet-facing vulnerabilities expedited; OT maintenance windows respected.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SEC-09</w:t>
            </w:r>
          </w:p>
        </w:tc>
        <w:tc>
          <w:tcPr>
            <w:tcW w:type="dxa" w:w="3408"/>
            <w:vAlign w:val="center"/>
          </w:tcPr>
          <w:p>
            <w:r>
              <w:t>Detection</w:t>
            </w:r>
          </w:p>
        </w:tc>
        <w:tc>
          <w:tcPr>
            <w:tcW w:type="dxa" w:w="3408"/>
            <w:vAlign w:val="center"/>
          </w:tcPr>
          <w:p>
            <w:r>
              <w:t>Central logs, behavioural alerts, impossible-action detection, SIEM/SOC integration.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SEC-10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Incident response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Runbooks for compromised account, bad model, bad data, unsafe plan, adapter failure and cyber isolation.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SEC-11</w:t>
            </w:r>
          </w:p>
        </w:tc>
        <w:tc>
          <w:tcPr>
            <w:tcW w:type="dxa" w:w="3408"/>
            <w:vAlign w:val="center"/>
          </w:tcPr>
          <w:p>
            <w:r>
              <w:t>Standards</w:t>
            </w:r>
          </w:p>
        </w:tc>
        <w:tc>
          <w:tcPr>
            <w:tcW w:type="dxa" w:w="3408"/>
            <w:vAlign w:val="center"/>
          </w:tcPr>
          <w:p>
            <w:r>
              <w:t>Design aligned to IEC 62443 zones/conduits, NIS2 risk controls and applicable ISO 27001 programme.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SEC-12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Privacy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GDPR privacy by design/default, DPIA, minimisation, pseudonymisation, retention and rights support.</w:t>
            </w:r>
          </w:p>
        </w:tc>
      </w:tr>
    </w:tbl>
    <w:p>
      <w:pPr>
        <w:pStyle w:val="Heading1"/>
      </w:pPr>
      <w:r>
        <w:t>9. Reliability and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Component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Cloud control plane</w:t>
            </w:r>
          </w:p>
        </w:tc>
        <w:tc>
          <w:tcPr>
            <w:tcW w:type="dxa" w:w="5112"/>
            <w:vAlign w:val="center"/>
          </w:tcPr>
          <w:p>
            <w:r>
              <w:t>Multi-AZ; RTO ≤60 minutes, RPO ≤15 minutes target.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Critical configuration/audit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Cross-region backup or replication; target RPO ≤5 minutes for audit/command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Edge gateway</w:t>
            </w:r>
          </w:p>
        </w:tc>
        <w:tc>
          <w:tcPr>
            <w:tcW w:type="dxa" w:w="5112"/>
            <w:vAlign w:val="center"/>
          </w:tcPr>
          <w:p>
            <w:r>
              <w:t>Redundant industrial gateways where site criticality requires; local buffer ≥24 hours.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Message bus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At-least-once delivery with idempotent consumers; no untracked loss.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Command path</w:t>
            </w:r>
          </w:p>
        </w:tc>
        <w:tc>
          <w:tcPr>
            <w:tcW w:type="dxa" w:w="5112"/>
            <w:vAlign w:val="center"/>
          </w:tcPr>
          <w:p>
            <w:r>
              <w:t>Idempotent, expiring commands; acknowledgement and reconciliation.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Time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NTP/PTP strategy; UTC canonical timestamps and clock-drift alerts.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Fallback</w:t>
            </w:r>
          </w:p>
        </w:tc>
        <w:tc>
          <w:tcPr>
            <w:tcW w:type="dxa" w:w="5112"/>
            <w:vAlign w:val="center"/>
          </w:tcPr>
          <w:p>
            <w:r>
              <w:t>Last feasible plan, deterministic safe policy, autonomy downgrade and local operator control.</w:t>
            </w:r>
          </w:p>
        </w:tc>
      </w:tr>
    </w:tbl>
    <w:p>
      <w:pPr>
        <w:pStyle w:val="Heading1"/>
      </w:pPr>
      <w:r>
        <w:t>10. Verification and testing</w:t>
      </w:r>
    </w:p>
    <w:p>
      <w:pPr>
        <w:pStyle w:val="ListBullet"/>
      </w:pPr>
      <w:r>
        <w:t>Unit, component, contract, integration and end-to-end automated tests.</w:t>
      </w:r>
    </w:p>
    <w:p>
      <w:pPr>
        <w:pStyle w:val="ListBullet"/>
      </w:pPr>
      <w:r>
        <w:t>Historical replay and back-testing against approved baselines.</w:t>
      </w:r>
    </w:p>
    <w:p>
      <w:pPr>
        <w:pStyle w:val="ListBullet"/>
      </w:pPr>
      <w:r>
        <w:t>Property-based tests for conservation of energy, bounds and idempotency.</w:t>
      </w:r>
    </w:p>
    <w:p>
      <w:pPr>
        <w:pStyle w:val="ListBullet"/>
      </w:pPr>
      <w:r>
        <w:t>Monte Carlo and stress tests; N-1 asset/line/connectivity failures.</w:t>
      </w:r>
    </w:p>
    <w:p>
      <w:pPr>
        <w:pStyle w:val="ListBullet"/>
      </w:pPr>
      <w:r>
        <w:t>Software-in-the-loop, SCADA simulator, hardware-in-the-loop and factory/site acceptance tests.</w:t>
      </w:r>
    </w:p>
    <w:p>
      <w:pPr>
        <w:pStyle w:val="ListBullet"/>
      </w:pPr>
      <w:r>
        <w:t>Red-team tests for prompt injection, cross-tenant leakage, tool abuse and PII leakage.</w:t>
      </w:r>
    </w:p>
    <w:p>
      <w:pPr>
        <w:pStyle w:val="ListBullet"/>
      </w:pPr>
      <w:r>
        <w:t>Cybersecurity penetration test covering cloud, API, edge and command gateway.</w:t>
      </w:r>
    </w:p>
    <w:p>
      <w:pPr>
        <w:pStyle w:val="ListBullet"/>
      </w:pPr>
      <w:r>
        <w:t>Failover, restore and disaster-recovery exercises.</w:t>
      </w:r>
    </w:p>
    <w:p>
      <w:pPr>
        <w:pStyle w:val="ListBullet"/>
      </w:pPr>
      <w:r>
        <w:t>Shadow-mode comparison before approval/autonomous production operation.</w:t>
      </w:r>
    </w:p>
    <w:p>
      <w:pPr>
        <w:pStyle w:val="Heading1"/>
      </w:pPr>
      <w:r>
        <w:t>Reference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Source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Use in 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Electricity Regulation (EU) 2019/943</w:t>
            </w:r>
          </w:p>
        </w:tc>
        <w:tc>
          <w:tcPr>
            <w:tcW w:type="dxa" w:w="5112"/>
            <w:vAlign w:val="center"/>
          </w:tcPr>
          <w:p>
            <w:r>
              <w:t>Reference imbalance settlement period is 15 minutes, subject to applicable exemptions.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Commission Regulation (EU) 2017/2195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Electricity balancing and imbalance-settlement framework.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GDPR Regulation (EU) 2016/679</w:t>
            </w:r>
          </w:p>
        </w:tc>
        <w:tc>
          <w:tcPr>
            <w:tcW w:type="dxa" w:w="5112"/>
            <w:vAlign w:val="center"/>
          </w:tcPr>
          <w:p>
            <w:r>
              <w:t>Data protection by design/default, data minimisation and DPIA obligations.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NIS2 Directive (EU) 2022/2555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Cybersecurity risk management applicable to relevant energy entities.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AI Act / European Commission guidance</w:t>
            </w:r>
          </w:p>
        </w:tc>
        <w:tc>
          <w:tcPr>
            <w:tcW w:type="dxa" w:w="5112"/>
            <w:vAlign w:val="center"/>
          </w:tcPr>
          <w:p>
            <w:r>
              <w:t>Potential high-risk treatment where AI is a safety component in critical infrastructure; classification must be assessed for the deployed use case.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IEC 62443 series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Industrial automation and control-system cybersecurity principles.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AWS IoT SiteWise and AWS IoT Greengrass official documentation</w:t>
            </w:r>
          </w:p>
        </w:tc>
        <w:tc>
          <w:tcPr>
            <w:tcW w:type="dxa" w:w="5112"/>
            <w:vAlign w:val="center"/>
          </w:tcPr>
          <w:p>
            <w:r>
              <w:t>AWS-specific industrial-edge and OPC UA implementation reference.</w:t>
            </w:r>
          </w:p>
        </w:tc>
      </w:tr>
    </w:tbl>
    <w:p>
      <w:r>
        <w:br w:type="page"/>
      </w:r>
    </w:p>
    <w:p>
      <w:pPr>
        <w:pStyle w:val="Heading1"/>
      </w:pPr>
      <w:r>
        <w:t>11. Platform services, decision ledger and connector security</w:t>
      </w:r>
    </w:p>
    <w:p>
      <w:r>
        <w:t>Introduce dedicated Platform Control Plane, Decision Ledger Service, Approval Workflow Service, Connector Management Service, Credential Broker, Signal/Command Gateway, Export Service and Audit Evidence Service. Services shall be independently deployable, tenant-aware, observable and accessible only through authenticated APIs.</w:t>
      </w:r>
    </w:p>
    <w:p>
      <w:r>
        <w:t>The platform must not permit arbitrary server-side requests from user-entered endpoints. Connector activation shall enforce URL parsing, protocol allowlists, tenant egress policies, DNS/IP revalidation, private-endpoint preference, blocked metadata/link-local/loopback ranges, certificate verification, request size limits, timeouts, rate limits and controlled redirects. Authentication material shall be referenced from a managed secrets service and never persisted in logs, events, exports or the application database.</w:t>
      </w:r>
    </w:p>
    <w:p>
      <w:r>
        <w:t>Decision records and command events shall be append-only. Corrections create a new version or compensating event. All services shall use UTC timestamps with site time-zone rendering, correlation IDs and idempotency keys. OT commands require freshness, asset-state, interlock, ramp-rate, operating-envelope and approval checks immediately before dispatch.</w:t>
      </w:r>
    </w:p>
    <w:p>
      <w:r>
        <w:t>Excel exports shall be produced by isolated workers from authorised, tenant-scoped read models. Free-text cells shall be neutralised against spreadsheet-formula injection, sensitive fields redacted, files encrypted in transit and at rest, and pre-signed download links short-lived.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Technical ID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TR-PLT-01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Multi-tenant control-plane APIs for tenant, user, policy, connector, feature and subscription configuration.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TR-LED-01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Append-only decision ledger with event schema versioning, cryptographic checksum and immutable retention option.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TR-LED-02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Decision-to-signal lineage using decision_id, decision_version, correlation_id, causation_id and optimisation_run_id.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TR-API-01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REST connectors use OpenAPI/JSON Schema validation; Kafka/MQTT connectors use registry-managed schemas and controlled topic permissions.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TR-AUTH-01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Support OAuth 2.0 client credentials, mTLS, API keys and signed tokens through pluggable credential providers; prohibit passwords in configuration fields.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TR-SSRF-01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Validate destinations against allowlists and egress policy; block loopback, link-local, metadata and unauthorised private ranges; re-resolve DNS at execution.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TR-APP-01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Approval tokens bind decision version, approver, permitted modification bounds and expiry; execution rejects stale tokens.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TR-OT-01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OT command gateway remains separately segmented and performs deterministic safety validation independent of the agent layer.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TR-EXP-01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Generate XLSX with streaming writer, formula-injection protection, pagination/partitioning, checksum and expiring object-store URL.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TR-AUD-01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Audit connector changes, secret-reference changes, tests, approvals, exports, downloads, commands, acknowledgements and break-glass access.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TR-NFR-01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Dashboard receives decision/signal state updates by secure event stream or WebSocket/SSE with polling fallback.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TR-NFR-02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API and export workloads are rate-limited per tenant; noisy-neighbour controls protect operational optimisation and command paths.</w:t>
            </w:r>
          </w:p>
        </w:tc>
      </w:tr>
    </w:tbl>
    <w:p/>
    <w:p>
      <w:r>
        <w:rPr>
          <w:b/>
        </w:rPr>
        <w:t xml:space="preserve">Version 1.1 update scope: </w:t>
      </w:r>
      <w:r>
        <w:t>Platform product positioning; complete decision/signal dashboard lineage; governed Excel export; human-configurable API integration and authentication; approval-gated execution; and strengthened multi-tenant, OT and connector security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6E"/>
        <w:sz w:val="16"/>
      </w:rPr>
      <w:t xml:space="preserve">Confidential client proposal  •  v1.0  •  23 September 2026 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96E"/>
        <w:sz w:val="16"/>
      </w:rPr>
      <w:t>Renewable Energy Orchestrator (REO)  |  Technical Requirements Document (TRD)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7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D37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E60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