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007078"/>
          <w:sz w:val="56"/>
        </w:rPr>
        <w:t>Renewable Energy Orchestrator (REO)</w:t>
      </w:r>
    </w:p>
    <w:p>
      <w:pPr>
        <w:jc w:val="center"/>
      </w:pPr>
      <w:r>
        <w:rPr>
          <w:b/>
          <w:color w:val="0D3749"/>
          <w:sz w:val="48"/>
        </w:rPr>
        <w:t>Solution Architecture Document</w:t>
      </w:r>
    </w:p>
    <w:p>
      <w:pPr>
        <w:jc w:val="center"/>
      </w:pPr>
      <w:r>
        <w:rPr>
          <w:color w:val="505F64"/>
          <w:sz w:val="24"/>
        </w:rPr>
        <w:t>Client-ready specification</w:t>
      </w:r>
    </w:p>
    <w:p/>
    <w:tbl>
      <w:tblPr>
        <w:tblStyle w:val="TableGrid"/>
        <w:tblW w:type="auto" w:w="0"/>
        <w:jc w:val="center"/>
        <w:tblLook w:firstColumn="1" w:firstRow="1" w:lastColumn="0" w:lastRow="0" w:noHBand="0" w:noVBand="1" w:val="04A0"/>
      </w:tblPr>
      <w:tblGrid>
        <w:gridCol w:w="5112"/>
        <w:gridCol w:w="5112"/>
      </w:tblGrid>
      <w:tr>
        <w:tc>
          <w:tcPr>
            <w:tcW w:type="dxa" w:w="5112"/>
            <w:shd w:fill="0D3749"/>
          </w:tcPr>
          <w:p>
            <w:r>
              <w:rPr>
                <w:color w:val="FFFFFF"/>
              </w:rPr>
              <w:t>Version</w:t>
            </w:r>
          </w:p>
        </w:tc>
        <w:tc>
          <w:tcPr>
            <w:tcW w:type="dxa" w:w="5112"/>
          </w:tcPr>
          <w:p>
            <w:r>
              <w:t>1.1</w:t>
            </w:r>
          </w:p>
        </w:tc>
      </w:tr>
      <w:tr>
        <w:tc>
          <w:tcPr>
            <w:tcW w:type="dxa" w:w="5112"/>
            <w:shd w:fill="0D3749"/>
          </w:tcPr>
          <w:p>
            <w:r>
              <w:rPr>
                <w:color w:val="FFFFFF"/>
              </w:rPr>
              <w:t>Date</w:t>
            </w:r>
          </w:p>
        </w:tc>
        <w:tc>
          <w:tcPr>
            <w:tcW w:type="dxa" w:w="5112"/>
          </w:tcPr>
          <w:p>
            <w:r>
              <w:t>23 September 2026</w:t>
            </w:r>
          </w:p>
        </w:tc>
      </w:tr>
      <w:tr>
        <w:tc>
          <w:tcPr>
            <w:tcW w:type="dxa" w:w="5112"/>
            <w:shd w:fill="0D3749"/>
          </w:tcPr>
          <w:p>
            <w:r>
              <w:rPr>
                <w:color w:val="FFFFFF"/>
              </w:rPr>
              <w:t>Deployment</w:t>
            </w:r>
          </w:p>
        </w:tc>
        <w:tc>
          <w:tcPr>
            <w:tcW w:type="dxa" w:w="5112"/>
          </w:tcPr>
          <w:p>
            <w:r>
              <w:t>Cloud-neutral; first client on AWS</w:t>
            </w:r>
          </w:p>
        </w:tc>
      </w:tr>
      <w:tr>
        <w:tc>
          <w:tcPr>
            <w:tcW w:type="dxa" w:w="5112"/>
            <w:shd w:fill="0D3749"/>
          </w:tcPr>
          <w:p>
            <w:r>
              <w:rPr>
                <w:color w:val="FFFFFF"/>
              </w:rPr>
              <w:t>Market</w:t>
            </w:r>
          </w:p>
        </w:tc>
        <w:tc>
          <w:tcPr>
            <w:tcW w:type="dxa" w:w="5112"/>
          </w:tcPr>
          <w:p>
            <w:r>
              <w:t>European electricity market; GDPR applicable</w:t>
            </w:r>
          </w:p>
        </w:tc>
      </w:tr>
      <w:tr>
        <w:tc>
          <w:tcPr>
            <w:tcW w:type="dxa" w:w="5112"/>
            <w:shd w:fill="0D3749"/>
          </w:tcPr>
          <w:p>
            <w:r>
              <w:rPr>
                <w:color w:val="FFFFFF"/>
              </w:rPr>
              <w:t>Classification</w:t>
            </w:r>
          </w:p>
        </w:tc>
        <w:tc>
          <w:tcPr>
            <w:tcW w:type="dxa" w:w="5112"/>
          </w:tcPr>
          <w:p>
            <w:r>
              <w:t>Confidential — client proposal</w:t>
            </w:r>
          </w:p>
        </w:tc>
      </w:tr>
    </w:tbl>
    <w:p>
      <w:r>
        <w:br w:type="page"/>
      </w:r>
    </w:p>
    <w:p>
      <w:pPr>
        <w:pStyle w:val="Heading1"/>
      </w:pPr>
      <w:r>
        <w:t>1. Architecture overview</w:t>
      </w:r>
    </w:p>
    <w:p>
      <w:r>
        <w:t>The architecture separates information processing from physical control. Telemetry enters through industrial edge and enterprise connectors, is normalised into a tenant-scoped data fabric, and updates a portfolio digital twin. Forecast, scenario and optimisation services produce structured action proposals. A policy/safety plane determines whether proposals are observable, recommendable, approval-gated or autonomously executable. Only the OT command gateway can translate an approved action into a site command.</w:t>
      </w:r>
    </w:p>
    <w:p>
      <w:pPr>
        <w:pStyle w:val="Heading1"/>
      </w:pPr>
      <w:r>
        <w:t>2. Context architecture</w:t>
      </w:r>
    </w:p>
    <w:p>
      <w:r>
        <w:br/>
        <w:t>External/Client Systems</w:t>
        <w:br/>
        <w:t xml:space="preserve">  Weather • Markets • Carbon • Maintenance • Databases • Files</w:t>
        <w:br/>
        <w:t xml:space="preserve">  SCADA/EMS/BMS/PLC • OPC UA • MQTT • IEC Gateways</w:t>
        <w:br/>
        <w:t xml:space="preserve">                         │</w:t>
        <w:br/>
        <w:t xml:space="preserve">                         ▼</w:t>
        <w:br/>
        <w:t>Industrial Edge / Site DMZ</w:t>
        <w:br/>
        <w:t xml:space="preserve">  Protocol adapters → quality/time checks → buffer → local safety proxy</w:t>
        <w:br/>
        <w:t xml:space="preserve">                         │ mTLS / private connectivity</w:t>
        <w:br/>
        <w:t xml:space="preserve">                         ▼</w:t>
        <w:br/>
        <w:t>Cloud-neutral Platform</w:t>
        <w:br/>
        <w:t xml:space="preserve">  Ingestion/Event Bus → Lakehouse/Time-series → Digital Twin</w:t>
        <w:br/>
        <w:t xml:space="preserve">                  ├→ Forecast Services</w:t>
        <w:br/>
        <w:t xml:space="preserve">                  ├→ Scenario &amp; Simulation</w:t>
        <w:br/>
        <w:t xml:space="preserve">                  ├→ Optimisation Engine</w:t>
        <w:br/>
        <w:t xml:space="preserve">                  ├→ Agent Orchestrator / Evidence Retrieval</w:t>
        <w:br/>
        <w:t xml:space="preserve">                  └→ KPI &amp; Reporting</w:t>
        <w:br/>
        <w:t xml:space="preserve">                         │</w:t>
        <w:br/>
        <w:t xml:space="preserve">                 Policy / Safety Plane</w:t>
        <w:br/>
        <w:t xml:space="preserve">     mode • approvals • command envelope • interlocks • signatures</w:t>
        <w:br/>
        <w:t xml:space="preserve">                         │</w:t>
        <w:br/>
        <w:t xml:space="preserve">                         ▼</w:t>
        <w:br/>
        <w:t>OT Command Gateway → SCADA/EMS/BMS → Assets</w:t>
        <w:br/>
      </w:r>
    </w:p>
    <w:p>
      <w:pPr>
        <w:pStyle w:val="Heading1"/>
      </w:pPr>
      <w:r>
        <w:t>3. Container/component view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Domain</w:t>
            </w:r>
          </w:p>
        </w:tc>
        <w:tc>
          <w:tcPr>
            <w:tcW w:type="dxa" w:w="5112"/>
            <w:shd w:fill="0D3749"/>
            <w:vAlign w:val="center"/>
          </w:tcPr>
          <w:p>
            <w:r>
              <w:rPr>
                <w:color w:val="FFFFFF"/>
              </w:rPr>
              <w:t>Components</w:t>
            </w:r>
          </w:p>
        </w:tc>
      </w:tr>
      <w:tr>
        <w:tc>
          <w:tcPr>
            <w:tcW w:type="dxa" w:w="5112"/>
            <w:vAlign w:val="center"/>
          </w:tcPr>
          <w:p>
            <w:r>
              <w:t>Experience</w:t>
            </w:r>
          </w:p>
        </w:tc>
        <w:tc>
          <w:tcPr>
            <w:tcW w:type="dxa" w:w="5112"/>
            <w:vAlign w:val="center"/>
          </w:tcPr>
          <w:p>
            <w:r>
              <w:t>Web dashboard, API portal, approval inbox, reporting/export.</w:t>
            </w:r>
          </w:p>
        </w:tc>
      </w:tr>
      <w:tr>
        <w:tc>
          <w:tcPr>
            <w:tcW w:type="dxa" w:w="5112"/>
            <w:vAlign w:val="center"/>
            <w:shd w:fill="EAF3F4"/>
          </w:tcPr>
          <w:p>
            <w:r>
              <w:t>Access</w:t>
            </w:r>
          </w:p>
        </w:tc>
        <w:tc>
          <w:tcPr>
            <w:tcW w:type="dxa" w:w="5112"/>
            <w:vAlign w:val="center"/>
            <w:shd w:fill="EAF3F4"/>
          </w:tcPr>
          <w:p>
            <w:r>
              <w:t>WAF/API gateway, identity federation, tenant context and authorisation.</w:t>
            </w:r>
          </w:p>
        </w:tc>
      </w:tr>
      <w:tr>
        <w:tc>
          <w:tcPr>
            <w:tcW w:type="dxa" w:w="5112"/>
            <w:vAlign w:val="center"/>
          </w:tcPr>
          <w:p>
            <w:r>
              <w:t>Data ingestion</w:t>
            </w:r>
          </w:p>
        </w:tc>
        <w:tc>
          <w:tcPr>
            <w:tcW w:type="dxa" w:w="5112"/>
            <w:vAlign w:val="center"/>
          </w:tcPr>
          <w:p>
            <w:r>
              <w:t>File service, SFTP/path watcher, JDBC connector, REST/webhook, Kafka, MQTT, OPC UA/IEC adapter.</w:t>
            </w:r>
          </w:p>
        </w:tc>
      </w:tr>
      <w:tr>
        <w:tc>
          <w:tcPr>
            <w:tcW w:type="dxa" w:w="5112"/>
            <w:vAlign w:val="center"/>
            <w:shd w:fill="EAF3F4"/>
          </w:tcPr>
          <w:p>
            <w:r>
              <w:t>Data management</w:t>
            </w:r>
          </w:p>
        </w:tc>
        <w:tc>
          <w:tcPr>
            <w:tcW w:type="dxa" w:w="5112"/>
            <w:vAlign w:val="center"/>
            <w:shd w:fill="EAF3F4"/>
          </w:tcPr>
          <w:p>
            <w:r>
              <w:t>Raw/quarantine/curated zones, schema registry, catalogue/lineage, time-series store, operational DB.</w:t>
            </w:r>
          </w:p>
        </w:tc>
      </w:tr>
      <w:tr>
        <w:tc>
          <w:tcPr>
            <w:tcW w:type="dxa" w:w="5112"/>
            <w:vAlign w:val="center"/>
          </w:tcPr>
          <w:p>
            <w:r>
              <w:t>Twin &amp; state</w:t>
            </w:r>
          </w:p>
        </w:tc>
        <w:tc>
          <w:tcPr>
            <w:tcW w:type="dxa" w:w="5112"/>
            <w:vAlign w:val="center"/>
          </w:tcPr>
          <w:p>
            <w:r>
              <w:t>Asset registry, topology, constraint registry, state estimator, capability service.</w:t>
            </w:r>
          </w:p>
        </w:tc>
      </w:tr>
      <w:tr>
        <w:tc>
          <w:tcPr>
            <w:tcW w:type="dxa" w:w="5112"/>
            <w:vAlign w:val="center"/>
            <w:shd w:fill="EAF3F4"/>
          </w:tcPr>
          <w:p>
            <w:r>
              <w:t>Intelligence</w:t>
            </w:r>
          </w:p>
        </w:tc>
        <w:tc>
          <w:tcPr>
            <w:tcW w:type="dxa" w:w="5112"/>
            <w:vAlign w:val="center"/>
            <w:shd w:fill="EAF3F4"/>
          </w:tcPr>
          <w:p>
            <w:r>
              <w:t>Forecast services, feature service, scenario generator, simulation and optimisation.</w:t>
            </w:r>
          </w:p>
        </w:tc>
      </w:tr>
      <w:tr>
        <w:tc>
          <w:tcPr>
            <w:tcW w:type="dxa" w:w="5112"/>
            <w:vAlign w:val="center"/>
          </w:tcPr>
          <w:p>
            <w:r>
              <w:t>Agent platform</w:t>
            </w:r>
          </w:p>
        </w:tc>
        <w:tc>
          <w:tcPr>
            <w:tcW w:type="dxa" w:w="5112"/>
            <w:vAlign w:val="center"/>
          </w:tcPr>
          <w:p>
            <w:r>
              <w:t>Agent orchestrator, model gateway, retrieval, tool registry, critic and explanation.</w:t>
            </w:r>
          </w:p>
        </w:tc>
      </w:tr>
      <w:tr>
        <w:tc>
          <w:tcPr>
            <w:tcW w:type="dxa" w:w="5112"/>
            <w:vAlign w:val="center"/>
            <w:shd w:fill="EAF3F4"/>
          </w:tcPr>
          <w:p>
            <w:r>
              <w:t>Governance</w:t>
            </w:r>
          </w:p>
        </w:tc>
        <w:tc>
          <w:tcPr>
            <w:tcW w:type="dxa" w:w="5112"/>
            <w:vAlign w:val="center"/>
            <w:shd w:fill="EAF3F4"/>
          </w:tcPr>
          <w:p>
            <w:r>
              <w:t>Policy engine, approval service, risk classifier, audit ledger, privacy service.</w:t>
            </w:r>
          </w:p>
        </w:tc>
      </w:tr>
      <w:tr>
        <w:tc>
          <w:tcPr>
            <w:tcW w:type="dxa" w:w="5112"/>
            <w:vAlign w:val="center"/>
          </w:tcPr>
          <w:p>
            <w:r>
              <w:t>Control</w:t>
            </w:r>
          </w:p>
        </w:tc>
        <w:tc>
          <w:tcPr>
            <w:tcW w:type="dxa" w:w="5112"/>
            <w:vAlign w:val="center"/>
          </w:tcPr>
          <w:p>
            <w:r>
              <w:t>Action service, independent validator, command service, edge command proxy and reconciliation.</w:t>
            </w:r>
          </w:p>
        </w:tc>
      </w:tr>
      <w:tr>
        <w:tc>
          <w:tcPr>
            <w:tcW w:type="dxa" w:w="5112"/>
            <w:vAlign w:val="center"/>
            <w:shd w:fill="EAF3F4"/>
          </w:tcPr>
          <w:p>
            <w:r>
              <w:t>Platform</w:t>
            </w:r>
          </w:p>
        </w:tc>
        <w:tc>
          <w:tcPr>
            <w:tcW w:type="dxa" w:w="5112"/>
            <w:vAlign w:val="center"/>
            <w:shd w:fill="EAF3F4"/>
          </w:tcPr>
          <w:p>
            <w:r>
              <w:t>Kubernetes, service mesh, CI/CD, secrets/KMS, observability, SIEM and backup.</w:t>
            </w:r>
          </w:p>
        </w:tc>
      </w:tr>
    </w:tbl>
    <w:p>
      <w:pPr>
        <w:pStyle w:val="Heading1"/>
      </w:pPr>
      <w:r>
        <w:t>4. AWS reference deployment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Need</w:t>
            </w:r>
          </w:p>
        </w:tc>
        <w:tc>
          <w:tcPr>
            <w:tcW w:type="dxa" w:w="5112"/>
            <w:shd w:fill="0D3749"/>
            <w:vAlign w:val="center"/>
          </w:tcPr>
          <w:p>
            <w:r>
              <w:rPr>
                <w:color w:val="FFFFFF"/>
              </w:rPr>
              <w:t>AWS reference</w:t>
            </w:r>
          </w:p>
        </w:tc>
      </w:tr>
      <w:tr>
        <w:tc>
          <w:tcPr>
            <w:tcW w:type="dxa" w:w="5112"/>
            <w:vAlign w:val="center"/>
          </w:tcPr>
          <w:p>
            <w:r>
              <w:t>Network</w:t>
            </w:r>
          </w:p>
        </w:tc>
        <w:tc>
          <w:tcPr>
            <w:tcW w:type="dxa" w:w="5112"/>
            <w:vAlign w:val="center"/>
          </w:tcPr>
          <w:p>
            <w:r>
              <w:t>Separate production VPCs/accounts for shared services, tenant workloads and security; private subnets, Transit Gateway, Direct Connect/VPN and controlled OT DMZ.</w:t>
            </w:r>
          </w:p>
        </w:tc>
      </w:tr>
      <w:tr>
        <w:tc>
          <w:tcPr>
            <w:tcW w:type="dxa" w:w="5112"/>
            <w:vAlign w:val="center"/>
            <w:shd w:fill="EAF3F4"/>
          </w:tcPr>
          <w:p>
            <w:r>
              <w:t>Containers</w:t>
            </w:r>
          </w:p>
        </w:tc>
        <w:tc>
          <w:tcPr>
            <w:tcW w:type="dxa" w:w="5112"/>
            <w:vAlign w:val="center"/>
            <w:shd w:fill="EAF3F4"/>
          </w:tcPr>
          <w:p>
            <w:r>
              <w:t>Amazon EKS across three Availability Zones; dedicated node groups for platform, optimisation and ML.</w:t>
            </w:r>
          </w:p>
        </w:tc>
      </w:tr>
      <w:tr>
        <w:tc>
          <w:tcPr>
            <w:tcW w:type="dxa" w:w="5112"/>
            <w:vAlign w:val="center"/>
          </w:tcPr>
          <w:p>
            <w:r>
              <w:t>Edge</w:t>
            </w:r>
          </w:p>
        </w:tc>
        <w:tc>
          <w:tcPr>
            <w:tcW w:type="dxa" w:w="5112"/>
            <w:vAlign w:val="center"/>
          </w:tcPr>
          <w:p>
            <w:r>
              <w:t>AWS IoT Greengrass V2 on industrial gateways; OPC UA collection via supported SiteWise/custom/partner adapter; MQTT connectivity.</w:t>
            </w:r>
          </w:p>
        </w:tc>
      </w:tr>
      <w:tr>
        <w:tc>
          <w:tcPr>
            <w:tcW w:type="dxa" w:w="5112"/>
            <w:vAlign w:val="center"/>
            <w:shd w:fill="EAF3F4"/>
          </w:tcPr>
          <w:p>
            <w:r>
              <w:t>Messaging</w:t>
            </w:r>
          </w:p>
        </w:tc>
        <w:tc>
          <w:tcPr>
            <w:tcW w:type="dxa" w:w="5112"/>
            <w:vAlign w:val="center"/>
            <w:shd w:fill="EAF3F4"/>
          </w:tcPr>
          <w:p>
            <w:r>
              <w:t>Amazon MSK for event streaming; AWS IoT Core for device MQTT where appropriate.</w:t>
            </w:r>
          </w:p>
        </w:tc>
      </w:tr>
      <w:tr>
        <w:tc>
          <w:tcPr>
            <w:tcW w:type="dxa" w:w="5112"/>
            <w:vAlign w:val="center"/>
          </w:tcPr>
          <w:p>
            <w:r>
              <w:t>Storage</w:t>
            </w:r>
          </w:p>
        </w:tc>
        <w:tc>
          <w:tcPr>
            <w:tcW w:type="dxa" w:w="5112"/>
            <w:vAlign w:val="center"/>
          </w:tcPr>
          <w:p>
            <w:r>
              <w:t>S3 lakehouse, Aurora PostgreSQL, Timestream or approved time-series DB, ElastiCache.</w:t>
            </w:r>
          </w:p>
        </w:tc>
      </w:tr>
      <w:tr>
        <w:tc>
          <w:tcPr>
            <w:tcW w:type="dxa" w:w="5112"/>
            <w:vAlign w:val="center"/>
            <w:shd w:fill="EAF3F4"/>
          </w:tcPr>
          <w:p>
            <w:r>
              <w:t>Workflow</w:t>
            </w:r>
          </w:p>
        </w:tc>
        <w:tc>
          <w:tcPr>
            <w:tcW w:type="dxa" w:w="5112"/>
            <w:vAlign w:val="center"/>
            <w:shd w:fill="EAF3F4"/>
          </w:tcPr>
          <w:p>
            <w:r>
              <w:t>Temporal on EKS or Step Functions for non-latency-critical workflow; Kubernetes jobs for simulation.</w:t>
            </w:r>
          </w:p>
        </w:tc>
      </w:tr>
      <w:tr>
        <w:tc>
          <w:tcPr>
            <w:tcW w:type="dxa" w:w="5112"/>
            <w:vAlign w:val="center"/>
          </w:tcPr>
          <w:p>
            <w:r>
              <w:t>ML/AI</w:t>
            </w:r>
          </w:p>
        </w:tc>
        <w:tc>
          <w:tcPr>
            <w:tcW w:type="dxa" w:w="5112"/>
            <w:vAlign w:val="center"/>
          </w:tcPr>
          <w:p>
            <w:r>
              <w:t>SageMaker or MLflow/KServe; model gateway through private networking; no direct control permissions.</w:t>
            </w:r>
          </w:p>
        </w:tc>
      </w:tr>
      <w:tr>
        <w:tc>
          <w:tcPr>
            <w:tcW w:type="dxa" w:w="5112"/>
            <w:vAlign w:val="center"/>
            <w:shd w:fill="EAF3F4"/>
          </w:tcPr>
          <w:p>
            <w:r>
              <w:t>Security</w:t>
            </w:r>
          </w:p>
        </w:tc>
        <w:tc>
          <w:tcPr>
            <w:tcW w:type="dxa" w:w="5112"/>
            <w:vAlign w:val="center"/>
            <w:shd w:fill="EAF3F4"/>
          </w:tcPr>
          <w:p>
            <w:r>
              <w:t>IAM, IAM Identity Center federation, KMS, Secrets Manager, WAF, GuardDuty, Security Hub, CloudTrail and private endpoints.</w:t>
            </w:r>
          </w:p>
        </w:tc>
      </w:tr>
      <w:tr>
        <w:tc>
          <w:tcPr>
            <w:tcW w:type="dxa" w:w="5112"/>
            <w:vAlign w:val="center"/>
          </w:tcPr>
          <w:p>
            <w:r>
              <w:t>Observability</w:t>
            </w:r>
          </w:p>
        </w:tc>
        <w:tc>
          <w:tcPr>
            <w:tcW w:type="dxa" w:w="5112"/>
            <w:vAlign w:val="center"/>
          </w:tcPr>
          <w:p>
            <w:r>
              <w:t>CloudWatch, OpenTelemetry, Managed Prometheus/Grafana and SIEM forwarding.</w:t>
            </w:r>
          </w:p>
        </w:tc>
      </w:tr>
      <w:tr>
        <w:tc>
          <w:tcPr>
            <w:tcW w:type="dxa" w:w="5112"/>
            <w:vAlign w:val="center"/>
            <w:shd w:fill="EAF3F4"/>
          </w:tcPr>
          <w:p>
            <w:r>
              <w:t>Recovery</w:t>
            </w:r>
          </w:p>
        </w:tc>
        <w:tc>
          <w:tcPr>
            <w:tcW w:type="dxa" w:w="5112"/>
            <w:vAlign w:val="center"/>
            <w:shd w:fill="EAF3F4"/>
          </w:tcPr>
          <w:p>
            <w:r>
              <w:t>Multi-AZ by default; backup vault and optional secondary EU region according to client RTO/RPO.</w:t>
            </w:r>
          </w:p>
        </w:tc>
      </w:tr>
    </w:tbl>
    <w:p>
      <w:pPr>
        <w:pStyle w:val="Heading1"/>
      </w:pPr>
      <w:r>
        <w:t>5. Multi-tenancy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0D3749"/>
            <w:vAlign w:val="center"/>
          </w:tcPr>
          <w:p>
            <w:r>
              <w:rPr>
                <w:color w:val="FFFFFF"/>
              </w:rPr>
              <w:t>Model</w:t>
            </w:r>
          </w:p>
        </w:tc>
        <w:tc>
          <w:tcPr>
            <w:tcW w:type="dxa" w:w="3408"/>
            <w:shd w:fill="0D3749"/>
            <w:vAlign w:val="center"/>
          </w:tcPr>
          <w:p>
            <w:r>
              <w:rPr>
                <w:color w:val="FFFFFF"/>
              </w:rPr>
              <w:t>Use</w:t>
            </w:r>
          </w:p>
        </w:tc>
        <w:tc>
          <w:tcPr>
            <w:tcW w:type="dxa" w:w="3408"/>
            <w:shd w:fill="0D3749"/>
            <w:vAlign w:val="center"/>
          </w:tcPr>
          <w:p>
            <w:r>
              <w:rPr>
                <w:color w:val="FFFFFF"/>
              </w:rPr>
              <w:t>Isolation</w:t>
            </w:r>
          </w:p>
        </w:tc>
      </w:tr>
      <w:tr>
        <w:tc>
          <w:tcPr>
            <w:tcW w:type="dxa" w:w="3408"/>
            <w:vAlign w:val="center"/>
          </w:tcPr>
          <w:p>
            <w:r>
              <w:t>Pooled SaaS</w:t>
            </w:r>
          </w:p>
        </w:tc>
        <w:tc>
          <w:tcPr>
            <w:tcW w:type="dxa" w:w="3408"/>
            <w:vAlign w:val="center"/>
          </w:tcPr>
          <w:p>
            <w:r>
              <w:t>Smaller clients and non-OT-sensitive workloads</w:t>
            </w:r>
          </w:p>
        </w:tc>
        <w:tc>
          <w:tcPr>
            <w:tcW w:type="dxa" w:w="3408"/>
            <w:vAlign w:val="center"/>
          </w:tcPr>
          <w:p>
            <w:r>
              <w:t>Shared cluster/services with strict tenant keys, row/column security, per-tenant encryption context and quotas.</w:t>
            </w:r>
          </w:p>
        </w:tc>
      </w:tr>
      <w:tr>
        <w:tc>
          <w:tcPr>
            <w:tcW w:type="dxa" w:w="3408"/>
            <w:vAlign w:val="center"/>
            <w:shd w:fill="EAF3F4"/>
          </w:tcPr>
          <w:p>
            <w:r>
              <w:t>Siloed tenant</w:t>
            </w:r>
          </w:p>
        </w:tc>
        <w:tc>
          <w:tcPr>
            <w:tcW w:type="dxa" w:w="3408"/>
            <w:vAlign w:val="center"/>
            <w:shd w:fill="EAF3F4"/>
          </w:tcPr>
          <w:p>
            <w:r>
              <w:t>Production OT clients</w:t>
            </w:r>
          </w:p>
        </w:tc>
        <w:tc>
          <w:tcPr>
            <w:tcW w:type="dxa" w:w="3408"/>
            <w:vAlign w:val="center"/>
            <w:shd w:fill="EAF3F4"/>
          </w:tcPr>
          <w:p>
            <w:r>
              <w:t>Dedicated namespace/node pool and databases/topics; optional dedicated account/VPC.</w:t>
            </w:r>
          </w:p>
        </w:tc>
      </w:tr>
      <w:tr>
        <w:tc>
          <w:tcPr>
            <w:tcW w:type="dxa" w:w="3408"/>
            <w:vAlign w:val="center"/>
          </w:tcPr>
          <w:p>
            <w:r>
              <w:t>Single-tenant accelerator</w:t>
            </w:r>
          </w:p>
        </w:tc>
        <w:tc>
          <w:tcPr>
            <w:tcW w:type="dxa" w:w="3408"/>
            <w:vAlign w:val="center"/>
          </w:tcPr>
          <w:p>
            <w:r>
              <w:t>Regulated/high-isolation client</w:t>
            </w:r>
          </w:p>
        </w:tc>
        <w:tc>
          <w:tcPr>
            <w:tcW w:type="dxa" w:w="3408"/>
            <w:vAlign w:val="center"/>
          </w:tcPr>
          <w:p>
            <w:r>
              <w:t>Dedicated cloud account/subscription/project and complete stack deployed from same IaC.</w:t>
            </w:r>
          </w:p>
        </w:tc>
      </w:tr>
      <w:tr>
        <w:tc>
          <w:tcPr>
            <w:tcW w:type="dxa" w:w="3408"/>
            <w:vAlign w:val="center"/>
            <w:shd w:fill="EAF3F4"/>
          </w:tcPr>
          <w:p>
            <w:r>
              <w:t>Hybrid</w:t>
            </w:r>
          </w:p>
        </w:tc>
        <w:tc>
          <w:tcPr>
            <w:tcW w:type="dxa" w:w="3408"/>
            <w:vAlign w:val="center"/>
            <w:shd w:fill="EAF3F4"/>
          </w:tcPr>
          <w:p>
            <w:r>
              <w:t>Shared control/catalogue plus dedicated control plane</w:t>
            </w:r>
          </w:p>
        </w:tc>
        <w:tc>
          <w:tcPr>
            <w:tcW w:type="dxa" w:w="3408"/>
            <w:vAlign w:val="center"/>
            <w:shd w:fill="EAF3F4"/>
          </w:tcPr>
          <w:p>
            <w:r>
              <w:t>Central product management; tenant-specific data/control services.</w:t>
            </w:r>
          </w:p>
        </w:tc>
      </w:tr>
    </w:tbl>
    <w:p>
      <w:pPr>
        <w:pStyle w:val="Heading1"/>
      </w:pPr>
      <w:r>
        <w:t>6. Decision sequence</w:t>
      </w:r>
    </w:p>
    <w:p>
      <w:pPr>
        <w:pStyle w:val="ListNumber"/>
      </w:pPr>
      <w:r>
        <w:t>Edge publishes telemetry with source timestamp and quality.</w:t>
      </w:r>
    </w:p>
    <w:p>
      <w:pPr>
        <w:pStyle w:val="ListNumber"/>
      </w:pPr>
      <w:r>
        <w:t>Streaming pipeline validates schema, units and tenant; trusted values update time-series and digital twin.</w:t>
      </w:r>
    </w:p>
    <w:p>
      <w:pPr>
        <w:pStyle w:val="ListNumber"/>
      </w:pPr>
      <w:r>
        <w:t>Decision scheduler locks a state snapshot and obtains objective/policy versions.</w:t>
      </w:r>
    </w:p>
    <w:p>
      <w:pPr>
        <w:pStyle w:val="ListNumber"/>
      </w:pPr>
      <w:r>
        <w:t>Forecast and scenario services produce trajectories.</w:t>
      </w:r>
    </w:p>
    <w:p>
      <w:pPr>
        <w:pStyle w:val="ListNumber"/>
      </w:pPr>
      <w:r>
        <w:t>Optimiser returns feasible base plan and alternatives.</w:t>
      </w:r>
    </w:p>
    <w:p>
      <w:pPr>
        <w:pStyle w:val="ListNumber"/>
      </w:pPr>
      <w:r>
        <w:t>Critic and independent validator review constraints, uncertainty and policy.</w:t>
      </w:r>
    </w:p>
    <w:p>
      <w:pPr>
        <w:pStyle w:val="ListNumber"/>
      </w:pPr>
      <w:r>
        <w:t>Policy engine assigns risk and disposition based on autonomy mode.</w:t>
      </w:r>
    </w:p>
    <w:p>
      <w:pPr>
        <w:pStyle w:val="ListNumber"/>
      </w:pPr>
      <w:r>
        <w:t>If approval is required, the plan waits until approved or expired.</w:t>
      </w:r>
    </w:p>
    <w:p>
      <w:pPr>
        <w:pStyle w:val="ListNumber"/>
      </w:pPr>
      <w:r>
        <w:t>Command service signs prepare message; edge validates against current local state and returns ready/reject.</w:t>
      </w:r>
    </w:p>
    <w:p>
      <w:pPr>
        <w:pStyle w:val="ListNumber"/>
      </w:pPr>
      <w:r>
        <w:t>Commit is issued only after readiness; SCADA/EMS executes subject to existing interlocks.</w:t>
      </w:r>
    </w:p>
    <w:p>
      <w:pPr>
        <w:pStyle w:val="ListNumber"/>
      </w:pPr>
      <w:r>
        <w:t>Acknowledgement and telemetry reconcile actual result; exceptions trigger re-plan/escalation.</w:t>
      </w:r>
    </w:p>
    <w:p>
      <w:pPr>
        <w:pStyle w:val="Heading1"/>
      </w:pPr>
      <w:r>
        <w:t>7. Safety architecture</w:t>
      </w:r>
    </w:p>
    <w:p>
      <w:pPr>
        <w:pStyle w:val="ListBullet"/>
      </w:pPr>
      <w:r>
        <w:t>Existing local protection, SCADA authority and equipment firmware remain authoritative.</w:t>
      </w:r>
    </w:p>
    <w:p>
      <w:pPr>
        <w:pStyle w:val="ListBullet"/>
      </w:pPr>
      <w:r>
        <w:t>Separate read path and write path; write path uses dedicated identities, network routes and approval policies.</w:t>
      </w:r>
    </w:p>
    <w:p>
      <w:pPr>
        <w:pStyle w:val="ListBullet"/>
      </w:pPr>
      <w:r>
        <w:t>Per-action command envelope: asset, action type, min/max, ramp, time window, rate and cumulative energy/value.</w:t>
      </w:r>
    </w:p>
    <w:p>
      <w:pPr>
        <w:pStyle w:val="ListBullet"/>
      </w:pPr>
      <w:r>
        <w:t>Two-person approval for defined high-risk actions and changes to autonomy/constraints.</w:t>
      </w:r>
    </w:p>
    <w:p>
      <w:pPr>
        <w:pStyle w:val="ListBullet"/>
      </w:pPr>
      <w:r>
        <w:t>Fresh-state validation at edge immediately before execution.</w:t>
      </w:r>
    </w:p>
    <w:p>
      <w:pPr>
        <w:pStyle w:val="ListBullet"/>
      </w:pPr>
      <w:r>
        <w:t>Short command TTL and nonce prevent replay.</w:t>
      </w:r>
    </w:p>
    <w:p>
      <w:pPr>
        <w:pStyle w:val="ListBullet"/>
      </w:pPr>
      <w:r>
        <w:t>No automatic retry if the physical outcome is uncertain.</w:t>
      </w:r>
    </w:p>
    <w:p>
      <w:pPr>
        <w:pStyle w:val="ListBullet"/>
      </w:pPr>
      <w:r>
        <w:t>Emergency stop disables new commands without impairing monitoring.</w:t>
      </w:r>
    </w:p>
    <w:p>
      <w:pPr>
        <w:pStyle w:val="ListBullet"/>
      </w:pPr>
      <w:r>
        <w:t>Formal hazard analysis and client-specific safety case required before autonomous production.</w:t>
      </w:r>
    </w:p>
    <w:p>
      <w:pPr>
        <w:pStyle w:val="Heading1"/>
      </w:pPr>
      <w:r>
        <w:t>8. Data architecture and lifecycle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0D3749"/>
            <w:vAlign w:val="center"/>
          </w:tcPr>
          <w:p>
            <w:r>
              <w:rPr>
                <w:color w:val="FFFFFF"/>
              </w:rPr>
              <w:t>Zone</w:t>
            </w:r>
          </w:p>
        </w:tc>
        <w:tc>
          <w:tcPr>
            <w:tcW w:type="dxa" w:w="3408"/>
            <w:shd w:fill="0D3749"/>
            <w:vAlign w:val="center"/>
          </w:tcPr>
          <w:p>
            <w:r>
              <w:rPr>
                <w:color w:val="FFFFFF"/>
              </w:rPr>
              <w:t>Purpose</w:t>
            </w:r>
          </w:p>
        </w:tc>
        <w:tc>
          <w:tcPr>
            <w:tcW w:type="dxa" w:w="3408"/>
            <w:shd w:fill="0D3749"/>
            <w:vAlign w:val="center"/>
          </w:tcPr>
          <w:p>
            <w:r>
              <w:rPr>
                <w:color w:val="FFFFFF"/>
              </w:rPr>
              <w:t>Controls</w:t>
            </w:r>
          </w:p>
        </w:tc>
      </w:tr>
      <w:tr>
        <w:tc>
          <w:tcPr>
            <w:tcW w:type="dxa" w:w="3408"/>
            <w:vAlign w:val="center"/>
          </w:tcPr>
          <w:p>
            <w:r>
              <w:t>Landing/quarantine</w:t>
            </w:r>
          </w:p>
        </w:tc>
        <w:tc>
          <w:tcPr>
            <w:tcW w:type="dxa" w:w="3408"/>
            <w:vAlign w:val="center"/>
          </w:tcPr>
          <w:p>
            <w:r>
              <w:t>Raw files/events and failed validation</w:t>
            </w:r>
          </w:p>
        </w:tc>
        <w:tc>
          <w:tcPr>
            <w:tcW w:type="dxa" w:w="3408"/>
            <w:vAlign w:val="center"/>
          </w:tcPr>
          <w:p>
            <w:r>
              <w:t>Malware scan, immutable checksum, restricted access.</w:t>
            </w:r>
          </w:p>
        </w:tc>
      </w:tr>
      <w:tr>
        <w:tc>
          <w:tcPr>
            <w:tcW w:type="dxa" w:w="3408"/>
            <w:vAlign w:val="center"/>
            <w:shd w:fill="EAF3F4"/>
          </w:tcPr>
          <w:p>
            <w:r>
              <w:t>Redaction</w:t>
            </w:r>
          </w:p>
        </w:tc>
        <w:tc>
          <w:tcPr>
            <w:tcW w:type="dxa" w:w="3408"/>
            <w:vAlign w:val="center"/>
            <w:shd w:fill="EAF3F4"/>
          </w:tcPr>
          <w:p>
            <w:r>
              <w:t>PII detection/tokenisation and content sanitisation</w:t>
            </w:r>
          </w:p>
        </w:tc>
        <w:tc>
          <w:tcPr>
            <w:tcW w:type="dxa" w:w="3408"/>
            <w:vAlign w:val="center"/>
            <w:shd w:fill="EAF3F4"/>
          </w:tcPr>
          <w:p>
            <w:r>
              <w:t>DPO policy, reversible token vault separated.</w:t>
            </w:r>
          </w:p>
        </w:tc>
      </w:tr>
      <w:tr>
        <w:tc>
          <w:tcPr>
            <w:tcW w:type="dxa" w:w="3408"/>
            <w:vAlign w:val="center"/>
          </w:tcPr>
          <w:p>
            <w:r>
              <w:t>Curated</w:t>
            </w:r>
          </w:p>
        </w:tc>
        <w:tc>
          <w:tcPr>
            <w:tcW w:type="dxa" w:w="3408"/>
            <w:vAlign w:val="center"/>
          </w:tcPr>
          <w:p>
            <w:r>
              <w:t>Canonical units, schemas and quality</w:t>
            </w:r>
          </w:p>
        </w:tc>
        <w:tc>
          <w:tcPr>
            <w:tcW w:type="dxa" w:w="3408"/>
            <w:vAlign w:val="center"/>
          </w:tcPr>
          <w:p>
            <w:r>
              <w:t>Data contracts, lineage and quality scores.</w:t>
            </w:r>
          </w:p>
        </w:tc>
      </w:tr>
      <w:tr>
        <w:tc>
          <w:tcPr>
            <w:tcW w:type="dxa" w:w="3408"/>
            <w:vAlign w:val="center"/>
            <w:shd w:fill="EAF3F4"/>
          </w:tcPr>
          <w:p>
            <w:r>
              <w:t>Operational</w:t>
            </w:r>
          </w:p>
        </w:tc>
        <w:tc>
          <w:tcPr>
            <w:tcW w:type="dxa" w:w="3408"/>
            <w:vAlign w:val="center"/>
            <w:shd w:fill="EAF3F4"/>
          </w:tcPr>
          <w:p>
            <w:r>
              <w:t>Latest state, decisions, approvals and commands</w:t>
            </w:r>
          </w:p>
        </w:tc>
        <w:tc>
          <w:tcPr>
            <w:tcW w:type="dxa" w:w="3408"/>
            <w:vAlign w:val="center"/>
            <w:shd w:fill="EAF3F4"/>
          </w:tcPr>
          <w:p>
            <w:r>
              <w:t>Low latency, transactional consistency and HA.</w:t>
            </w:r>
          </w:p>
        </w:tc>
      </w:tr>
      <w:tr>
        <w:tc>
          <w:tcPr>
            <w:tcW w:type="dxa" w:w="3408"/>
            <w:vAlign w:val="center"/>
          </w:tcPr>
          <w:p>
            <w:r>
              <w:t>Time-series</w:t>
            </w:r>
          </w:p>
        </w:tc>
        <w:tc>
          <w:tcPr>
            <w:tcW w:type="dxa" w:w="3408"/>
            <w:vAlign w:val="center"/>
          </w:tcPr>
          <w:p>
            <w:r>
              <w:t>Telemetry and forecast history</w:t>
            </w:r>
          </w:p>
        </w:tc>
        <w:tc>
          <w:tcPr>
            <w:tcW w:type="dxa" w:w="3408"/>
            <w:vAlign w:val="center"/>
          </w:tcPr>
          <w:p>
            <w:r>
              <w:t>Partitioning, compression, retention tiers.</w:t>
            </w:r>
          </w:p>
        </w:tc>
      </w:tr>
      <w:tr>
        <w:tc>
          <w:tcPr>
            <w:tcW w:type="dxa" w:w="3408"/>
            <w:vAlign w:val="center"/>
            <w:shd w:fill="EAF3F4"/>
          </w:tcPr>
          <w:p>
            <w:r>
              <w:t>Lakehouse</w:t>
            </w:r>
          </w:p>
        </w:tc>
        <w:tc>
          <w:tcPr>
            <w:tcW w:type="dxa" w:w="3408"/>
            <w:vAlign w:val="center"/>
            <w:shd w:fill="EAF3F4"/>
          </w:tcPr>
          <w:p>
            <w:r>
              <w:t>Historical replay, model training and reporting</w:t>
            </w:r>
          </w:p>
        </w:tc>
        <w:tc>
          <w:tcPr>
            <w:tcW w:type="dxa" w:w="3408"/>
            <w:vAlign w:val="center"/>
            <w:shd w:fill="EAF3F4"/>
          </w:tcPr>
          <w:p>
            <w:r>
              <w:t>Open format, catalogue, tenant partition and lifecycle.</w:t>
            </w:r>
          </w:p>
        </w:tc>
      </w:tr>
      <w:tr>
        <w:tc>
          <w:tcPr>
            <w:tcW w:type="dxa" w:w="3408"/>
            <w:vAlign w:val="center"/>
          </w:tcPr>
          <w:p>
            <w:r>
              <w:t>Audit vault</w:t>
            </w:r>
          </w:p>
        </w:tc>
        <w:tc>
          <w:tcPr>
            <w:tcW w:type="dxa" w:w="3408"/>
            <w:vAlign w:val="center"/>
          </w:tcPr>
          <w:p>
            <w:r>
              <w:t>Tamper-evident evidence packages</w:t>
            </w:r>
          </w:p>
        </w:tc>
        <w:tc>
          <w:tcPr>
            <w:tcW w:type="dxa" w:w="3408"/>
            <w:vAlign w:val="center"/>
          </w:tcPr>
          <w:p>
            <w:r>
              <w:t>Write-once/retention lock where required.</w:t>
            </w:r>
          </w:p>
        </w:tc>
      </w:tr>
    </w:tbl>
    <w:p>
      <w:pPr>
        <w:pStyle w:val="Heading1"/>
      </w:pPr>
      <w:r>
        <w:t>9. Architecture decisions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0D3749"/>
            <w:vAlign w:val="center"/>
          </w:tcPr>
          <w:p>
            <w:r>
              <w:rPr>
                <w:color w:val="FFFFFF"/>
              </w:rPr>
              <w:t>ADR</w:t>
            </w:r>
          </w:p>
        </w:tc>
        <w:tc>
          <w:tcPr>
            <w:tcW w:type="dxa" w:w="3408"/>
            <w:shd w:fill="0D3749"/>
            <w:vAlign w:val="center"/>
          </w:tcPr>
          <w:p>
            <w:r>
              <w:rPr>
                <w:color w:val="FFFFFF"/>
              </w:rPr>
              <w:t>Decision</w:t>
            </w:r>
          </w:p>
        </w:tc>
        <w:tc>
          <w:tcPr>
            <w:tcW w:type="dxa" w:w="3408"/>
            <w:shd w:fill="0D3749"/>
            <w:vAlign w:val="center"/>
          </w:tcPr>
          <w:p>
            <w:r>
              <w:rPr>
                <w:color w:val="FFFFFF"/>
              </w:rPr>
              <w:t>Rationale</w:t>
            </w:r>
          </w:p>
        </w:tc>
      </w:tr>
      <w:tr>
        <w:tc>
          <w:tcPr>
            <w:tcW w:type="dxa" w:w="3408"/>
            <w:vAlign w:val="center"/>
          </w:tcPr>
          <w:p>
            <w:r>
              <w:t>ADR-001</w:t>
            </w:r>
          </w:p>
        </w:tc>
        <w:tc>
          <w:tcPr>
            <w:tcW w:type="dxa" w:w="3408"/>
            <w:vAlign w:val="center"/>
          </w:tcPr>
          <w:p>
            <w:r>
              <w:t>Use optimisation—not an LLM—as dispatch authority</w:t>
            </w:r>
          </w:p>
        </w:tc>
        <w:tc>
          <w:tcPr>
            <w:tcW w:type="dxa" w:w="3408"/>
            <w:vAlign w:val="center"/>
          </w:tcPr>
          <w:p>
            <w:r>
              <w:t>Physical feasibility, repeatability and mathematical traceability.</w:t>
            </w:r>
          </w:p>
        </w:tc>
      </w:tr>
      <w:tr>
        <w:tc>
          <w:tcPr>
            <w:tcW w:type="dxa" w:w="3408"/>
            <w:vAlign w:val="center"/>
            <w:shd w:fill="EAF3F4"/>
          </w:tcPr>
          <w:p>
            <w:r>
              <w:t>ADR-002</w:t>
            </w:r>
          </w:p>
        </w:tc>
        <w:tc>
          <w:tcPr>
            <w:tcW w:type="dxa" w:w="3408"/>
            <w:vAlign w:val="center"/>
            <w:shd w:fill="EAF3F4"/>
          </w:tcPr>
          <w:p>
            <w:r>
              <w:t>Use edge-mediated commands</w:t>
            </w:r>
          </w:p>
        </w:tc>
        <w:tc>
          <w:tcPr>
            <w:tcW w:type="dxa" w:w="3408"/>
            <w:vAlign w:val="center"/>
            <w:shd w:fill="EAF3F4"/>
          </w:tcPr>
          <w:p>
            <w:r>
              <w:t>Latency, local validation, survivability and OT segmentation.</w:t>
            </w:r>
          </w:p>
        </w:tc>
      </w:tr>
      <w:tr>
        <w:tc>
          <w:tcPr>
            <w:tcW w:type="dxa" w:w="3408"/>
            <w:vAlign w:val="center"/>
          </w:tcPr>
          <w:p>
            <w:r>
              <w:t>ADR-003</w:t>
            </w:r>
          </w:p>
        </w:tc>
        <w:tc>
          <w:tcPr>
            <w:tcW w:type="dxa" w:w="3408"/>
            <w:vAlign w:val="center"/>
          </w:tcPr>
          <w:p>
            <w:r>
              <w:t>Adopt open canonical model and adapter interfaces</w:t>
            </w:r>
          </w:p>
        </w:tc>
        <w:tc>
          <w:tcPr>
            <w:tcW w:type="dxa" w:w="3408"/>
            <w:vAlign w:val="center"/>
          </w:tcPr>
          <w:p>
            <w:r>
              <w:t>Cloud neutrality and client portability.</w:t>
            </w:r>
          </w:p>
        </w:tc>
      </w:tr>
      <w:tr>
        <w:tc>
          <w:tcPr>
            <w:tcW w:type="dxa" w:w="3408"/>
            <w:vAlign w:val="center"/>
            <w:shd w:fill="EAF3F4"/>
          </w:tcPr>
          <w:p>
            <w:r>
              <w:t>ADR-004</w:t>
            </w:r>
          </w:p>
        </w:tc>
        <w:tc>
          <w:tcPr>
            <w:tcW w:type="dxa" w:w="3408"/>
            <w:vAlign w:val="center"/>
            <w:shd w:fill="EAF3F4"/>
          </w:tcPr>
          <w:p>
            <w:r>
              <w:t>Separate settlement interval from dispatch interval</w:t>
            </w:r>
          </w:p>
        </w:tc>
        <w:tc>
          <w:tcPr>
            <w:tcW w:type="dxa" w:w="3408"/>
            <w:vAlign w:val="center"/>
            <w:shd w:fill="EAF3F4"/>
          </w:tcPr>
          <w:p>
            <w:r>
              <w:t>10-minute decisions can coexist with jurisdiction-specific market periods.</w:t>
            </w:r>
          </w:p>
        </w:tc>
      </w:tr>
      <w:tr>
        <w:tc>
          <w:tcPr>
            <w:tcW w:type="dxa" w:w="3408"/>
            <w:vAlign w:val="center"/>
          </w:tcPr>
          <w:p>
            <w:r>
              <w:t>ADR-005</w:t>
            </w:r>
          </w:p>
        </w:tc>
        <w:tc>
          <w:tcPr>
            <w:tcW w:type="dxa" w:w="3408"/>
            <w:vAlign w:val="center"/>
          </w:tcPr>
          <w:p>
            <w:r>
              <w:t>Use event sourcing for decision evidence</w:t>
            </w:r>
          </w:p>
        </w:tc>
        <w:tc>
          <w:tcPr>
            <w:tcW w:type="dxa" w:w="3408"/>
            <w:vAlign w:val="center"/>
          </w:tcPr>
          <w:p>
            <w:r>
              <w:t>Replay, audit and post-incident analysis.</w:t>
            </w:r>
          </w:p>
        </w:tc>
      </w:tr>
      <w:tr>
        <w:tc>
          <w:tcPr>
            <w:tcW w:type="dxa" w:w="3408"/>
            <w:vAlign w:val="center"/>
            <w:shd w:fill="EAF3F4"/>
          </w:tcPr>
          <w:p>
            <w:r>
              <w:t>ADR-006</w:t>
            </w:r>
          </w:p>
        </w:tc>
        <w:tc>
          <w:tcPr>
            <w:tcW w:type="dxa" w:w="3408"/>
            <w:vAlign w:val="center"/>
            <w:shd w:fill="EAF3F4"/>
          </w:tcPr>
          <w:p>
            <w:r>
              <w:t>Support pooled and siloed tenancy</w:t>
            </w:r>
          </w:p>
        </w:tc>
        <w:tc>
          <w:tcPr>
            <w:tcW w:type="dxa" w:w="3408"/>
            <w:vAlign w:val="center"/>
            <w:shd w:fill="EAF3F4"/>
          </w:tcPr>
          <w:p>
            <w:r>
              <w:t>Commercial flexibility without weakening high-isolation deployments.</w:t>
            </w:r>
          </w:p>
        </w:tc>
      </w:tr>
      <w:tr>
        <w:tc>
          <w:tcPr>
            <w:tcW w:type="dxa" w:w="3408"/>
            <w:vAlign w:val="center"/>
          </w:tcPr>
          <w:p>
            <w:r>
              <w:t>ADR-007</w:t>
            </w:r>
          </w:p>
        </w:tc>
        <w:tc>
          <w:tcPr>
            <w:tcW w:type="dxa" w:w="3408"/>
            <w:vAlign w:val="center"/>
          </w:tcPr>
          <w:p>
            <w:r>
              <w:t>Variable-resolution horizons</w:t>
            </w:r>
          </w:p>
        </w:tc>
        <w:tc>
          <w:tcPr>
            <w:tcW w:type="dxa" w:w="3408"/>
            <w:vAlign w:val="center"/>
          </w:tcPr>
          <w:p>
            <w:r>
              <w:t>Retain near-term detail while making 7-day plans computationally tractable.</w:t>
            </w:r>
          </w:p>
        </w:tc>
      </w:tr>
    </w:tbl>
    <w:p>
      <w:pPr>
        <w:pStyle w:val="Heading1"/>
      </w:pPr>
      <w:r>
        <w:t>Reference sources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Source</w:t>
            </w:r>
          </w:p>
        </w:tc>
        <w:tc>
          <w:tcPr>
            <w:tcW w:type="dxa" w:w="5112"/>
            <w:shd w:fill="0D3749"/>
            <w:vAlign w:val="center"/>
          </w:tcPr>
          <w:p>
            <w:r>
              <w:rPr>
                <w:color w:val="FFFFFF"/>
              </w:rPr>
              <w:t>Use in specification</w:t>
            </w:r>
          </w:p>
        </w:tc>
      </w:tr>
      <w:tr>
        <w:tc>
          <w:tcPr>
            <w:tcW w:type="dxa" w:w="5112"/>
            <w:vAlign w:val="center"/>
          </w:tcPr>
          <w:p>
            <w:r>
              <w:t>EU Electricity Regulation (EU) 2019/943</w:t>
            </w:r>
          </w:p>
        </w:tc>
        <w:tc>
          <w:tcPr>
            <w:tcW w:type="dxa" w:w="5112"/>
            <w:vAlign w:val="center"/>
          </w:tcPr>
          <w:p>
            <w:r>
              <w:t>Reference imbalance settlement period is 15 minutes, subject to applicable exemptions.</w:t>
            </w:r>
          </w:p>
        </w:tc>
      </w:tr>
      <w:tr>
        <w:tc>
          <w:tcPr>
            <w:tcW w:type="dxa" w:w="5112"/>
            <w:vAlign w:val="center"/>
            <w:shd w:fill="EAF3F4"/>
          </w:tcPr>
          <w:p>
            <w:r>
              <w:t>Commission Regulation (EU) 2017/2195</w:t>
            </w:r>
          </w:p>
        </w:tc>
        <w:tc>
          <w:tcPr>
            <w:tcW w:type="dxa" w:w="5112"/>
            <w:vAlign w:val="center"/>
            <w:shd w:fill="EAF3F4"/>
          </w:tcPr>
          <w:p>
            <w:r>
              <w:t>Electricity balancing and imbalance-settlement framework.</w:t>
            </w:r>
          </w:p>
        </w:tc>
      </w:tr>
      <w:tr>
        <w:tc>
          <w:tcPr>
            <w:tcW w:type="dxa" w:w="5112"/>
            <w:vAlign w:val="center"/>
          </w:tcPr>
          <w:p>
            <w:r>
              <w:t>GDPR Regulation (EU) 2016/679</w:t>
            </w:r>
          </w:p>
        </w:tc>
        <w:tc>
          <w:tcPr>
            <w:tcW w:type="dxa" w:w="5112"/>
            <w:vAlign w:val="center"/>
          </w:tcPr>
          <w:p>
            <w:r>
              <w:t>Data protection by design/default, data minimisation and DPIA obligations.</w:t>
            </w:r>
          </w:p>
        </w:tc>
      </w:tr>
      <w:tr>
        <w:tc>
          <w:tcPr>
            <w:tcW w:type="dxa" w:w="5112"/>
            <w:vAlign w:val="center"/>
            <w:shd w:fill="EAF3F4"/>
          </w:tcPr>
          <w:p>
            <w:r>
              <w:t>NIS2 Directive (EU) 2022/2555</w:t>
            </w:r>
          </w:p>
        </w:tc>
        <w:tc>
          <w:tcPr>
            <w:tcW w:type="dxa" w:w="5112"/>
            <w:vAlign w:val="center"/>
            <w:shd w:fill="EAF3F4"/>
          </w:tcPr>
          <w:p>
            <w:r>
              <w:t>Cybersecurity risk management applicable to relevant energy entities.</w:t>
            </w:r>
          </w:p>
        </w:tc>
      </w:tr>
      <w:tr>
        <w:tc>
          <w:tcPr>
            <w:tcW w:type="dxa" w:w="5112"/>
            <w:vAlign w:val="center"/>
          </w:tcPr>
          <w:p>
            <w:r>
              <w:t>EU AI Act / European Commission guidance</w:t>
            </w:r>
          </w:p>
        </w:tc>
        <w:tc>
          <w:tcPr>
            <w:tcW w:type="dxa" w:w="5112"/>
            <w:vAlign w:val="center"/>
          </w:tcPr>
          <w:p>
            <w:r>
              <w:t>Potential high-risk treatment where AI is a safety component in critical infrastructure; classification must be assessed for the deployed use case.</w:t>
            </w:r>
          </w:p>
        </w:tc>
      </w:tr>
      <w:tr>
        <w:tc>
          <w:tcPr>
            <w:tcW w:type="dxa" w:w="5112"/>
            <w:vAlign w:val="center"/>
            <w:shd w:fill="EAF3F4"/>
          </w:tcPr>
          <w:p>
            <w:r>
              <w:t>IEC 62443 series</w:t>
            </w:r>
          </w:p>
        </w:tc>
        <w:tc>
          <w:tcPr>
            <w:tcW w:type="dxa" w:w="5112"/>
            <w:vAlign w:val="center"/>
            <w:shd w:fill="EAF3F4"/>
          </w:tcPr>
          <w:p>
            <w:r>
              <w:t>Industrial automation and control-system cybersecurity principles.</w:t>
            </w:r>
          </w:p>
        </w:tc>
      </w:tr>
      <w:tr>
        <w:tc>
          <w:tcPr>
            <w:tcW w:type="dxa" w:w="5112"/>
            <w:vAlign w:val="center"/>
          </w:tcPr>
          <w:p>
            <w:r>
              <w:t>AWS IoT SiteWise and AWS IoT Greengrass official documentation</w:t>
            </w:r>
          </w:p>
        </w:tc>
        <w:tc>
          <w:tcPr>
            <w:tcW w:type="dxa" w:w="5112"/>
            <w:vAlign w:val="center"/>
          </w:tcPr>
          <w:p>
            <w:r>
              <w:t>AWS-specific industrial-edge and OPC UA implementation reference.</w:t>
            </w:r>
          </w:p>
        </w:tc>
      </w:tr>
    </w:tbl>
    <w:p>
      <w:r>
        <w:br w:type="page"/>
      </w:r>
    </w:p>
    <w:p>
      <w:pPr>
        <w:pStyle w:val="Heading1"/>
      </w:pPr>
      <w:r>
        <w:t>10. Platform architecture extension</w:t>
      </w:r>
    </w:p>
    <w:p>
      <w:r>
        <w:t>The product architecture is divided into a shared or dedicated Platform Control Plane and tenant-isolated Data and Execution Planes. The Control Plane manages tenant lifecycle, identity federation, entitlements, configuration, policy packs, connector metadata and platform health. Each tenant plane contains operational data, digital twin, optimisation, decision ledger, approval workflow, integration runtime and OT command gateway.</w:t>
      </w:r>
    </w:p>
    <w:p>
      <w:r>
        <w:t>Decision flow: optimiser produces a structured proposal; Decision Ledger persists the proposal and evidence; Explanation Service produces grounded reasoning; Policy/Safety evaluates it; Approval Workflow gates it when required; Connector Runtime or OT Command Gateway creates the signal; the external system acknowledges it; Outcome Reconciliation compares the observed state with the intended action; all transitions are streamed to the dashboard and audit store.</w:t>
      </w:r>
    </w:p>
    <w:p>
      <w:r>
        <w:t>Connector flow: an Integration Administrator enters endpoint and authentication configuration; Credential Broker stores secret material in the vault; Connector Management validates destination and schema; a sandbox runner performs a dry run; a separate approver promotes the connector; runtime egress is limited to approved destinations. Direct browser-to-SCADA communication is prohibited.</w:t>
      </w:r>
    </w:p>
    <w:p>
      <w:r>
        <w:t>Export flow: the dashboard submits current filters; Export Service authorises scope, reads a reporting projection, redacts fields, creates the multi-sheet XLSX, stores it in tenant-scoped object storage and returns an expiring link. Export creation and download are audit events.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Pr>
          <w:p>
            <w:r>
              <w:rPr>
                <w:b/>
                <w:color w:val="FFFFFF"/>
                <w:sz w:val="18"/>
              </w:rPr>
              <w:t>Component</w:t>
            </w:r>
          </w:p>
        </w:tc>
        <w:tc>
          <w:tcPr>
            <w:tcW w:type="dxa" w:w="3408"/>
            <w:shd w:fill="1F4E78"/>
            <w:vAlign w:val="center"/>
          </w:tcPr>
          <w:p>
            <w:r>
              <w:rPr>
                <w:b/>
                <w:color w:val="FFFFFF"/>
                <w:sz w:val="18"/>
              </w:rPr>
              <w:t>Responsibility</w:t>
            </w:r>
          </w:p>
        </w:tc>
        <w:tc>
          <w:tcPr>
            <w:tcW w:type="dxa" w:w="3408"/>
            <w:shd w:fill="1F4E78"/>
            <w:vAlign w:val="center"/>
          </w:tcPr>
          <w:p>
            <w:r>
              <w:rPr>
                <w:b/>
                <w:color w:val="FFFFFF"/>
                <w:sz w:val="18"/>
              </w:rPr>
              <w:t>Trust boundary</w:t>
            </w:r>
          </w:p>
        </w:tc>
      </w:tr>
      <w:tr>
        <w:tc>
          <w:tcPr>
            <w:tcW w:type="dxa" w:w="3408"/>
            <w:vAlign w:val="top"/>
          </w:tcPr>
          <w:p>
            <w:r>
              <w:rPr>
                <w:sz w:val="17"/>
              </w:rPr>
              <w:t>Platform Control Plane</w:t>
            </w:r>
          </w:p>
        </w:tc>
        <w:tc>
          <w:tcPr>
            <w:tcW w:type="dxa" w:w="3408"/>
            <w:vAlign w:val="top"/>
          </w:tcPr>
          <w:p>
            <w:r>
              <w:rPr>
                <w:sz w:val="17"/>
              </w:rPr>
              <w:t>Tenant provisioning, identity, entitlements, feature/configuration and platform operations.</w:t>
            </w:r>
          </w:p>
        </w:tc>
        <w:tc>
          <w:tcPr>
            <w:tcW w:type="dxa" w:w="3408"/>
            <w:vAlign w:val="top"/>
          </w:tcPr>
          <w:p>
            <w:r>
              <w:rPr>
                <w:sz w:val="17"/>
              </w:rPr>
              <w:t>Shared service with strict metadata-only tenancy; dedicated option supported.</w:t>
            </w:r>
          </w:p>
        </w:tc>
      </w:tr>
      <w:tr>
        <w:tc>
          <w:tcPr>
            <w:tcW w:type="dxa" w:w="3408"/>
            <w:vAlign w:val="top"/>
            <w:shd w:fill="DCE6F1"/>
          </w:tcPr>
          <w:p>
            <w:r>
              <w:rPr>
                <w:sz w:val="17"/>
              </w:rPr>
              <w:t>Decision Ledger Service</w:t>
            </w:r>
          </w:p>
        </w:tc>
        <w:tc>
          <w:tcPr>
            <w:tcW w:type="dxa" w:w="3408"/>
            <w:vAlign w:val="top"/>
            <w:shd w:fill="DCE6F1"/>
          </w:tcPr>
          <w:p>
            <w:r>
              <w:rPr>
                <w:sz w:val="17"/>
              </w:rPr>
              <w:t>Versioned proposals, reasoning references, approvals, signals, acknowledgements and outcomes.</w:t>
            </w:r>
          </w:p>
        </w:tc>
        <w:tc>
          <w:tcPr>
            <w:tcW w:type="dxa" w:w="3408"/>
            <w:vAlign w:val="top"/>
            <w:shd w:fill="DCE6F1"/>
          </w:tcPr>
          <w:p>
            <w:r>
              <w:rPr>
                <w:sz w:val="17"/>
              </w:rPr>
              <w:t>Tenant-partitioned append-only data.</w:t>
            </w:r>
          </w:p>
        </w:tc>
      </w:tr>
      <w:tr>
        <w:tc>
          <w:tcPr>
            <w:tcW w:type="dxa" w:w="3408"/>
            <w:vAlign w:val="top"/>
          </w:tcPr>
          <w:p>
            <w:r>
              <w:rPr>
                <w:sz w:val="17"/>
              </w:rPr>
              <w:t>Approval Workflow Service</w:t>
            </w:r>
          </w:p>
        </w:tc>
        <w:tc>
          <w:tcPr>
            <w:tcW w:type="dxa" w:w="3408"/>
            <w:vAlign w:val="top"/>
          </w:tcPr>
          <w:p>
            <w:r>
              <w:rPr>
                <w:sz w:val="17"/>
              </w:rPr>
              <w:t>Maker-checker workflow, delegation, expiry, comments and approval token generation.</w:t>
            </w:r>
          </w:p>
        </w:tc>
        <w:tc>
          <w:tcPr>
            <w:tcW w:type="dxa" w:w="3408"/>
            <w:vAlign w:val="top"/>
          </w:tcPr>
          <w:p>
            <w:r>
              <w:rPr>
                <w:sz w:val="17"/>
              </w:rPr>
              <w:t>Privileged operational workflow.</w:t>
            </w:r>
          </w:p>
        </w:tc>
      </w:tr>
      <w:tr>
        <w:tc>
          <w:tcPr>
            <w:tcW w:type="dxa" w:w="3408"/>
            <w:vAlign w:val="top"/>
            <w:shd w:fill="DCE6F1"/>
          </w:tcPr>
          <w:p>
            <w:r>
              <w:rPr>
                <w:sz w:val="17"/>
              </w:rPr>
              <w:t>Connector Management &amp; Credential Broker</w:t>
            </w:r>
          </w:p>
        </w:tc>
        <w:tc>
          <w:tcPr>
            <w:tcW w:type="dxa" w:w="3408"/>
            <w:vAlign w:val="top"/>
            <w:shd w:fill="DCE6F1"/>
          </w:tcPr>
          <w:p>
            <w:r>
              <w:rPr>
                <w:sz w:val="17"/>
              </w:rPr>
              <w:t>Connector metadata, validation, promotion and vault-backed secret references.</w:t>
            </w:r>
          </w:p>
        </w:tc>
        <w:tc>
          <w:tcPr>
            <w:tcW w:type="dxa" w:w="3408"/>
            <w:vAlign w:val="top"/>
            <w:shd w:fill="DCE6F1"/>
          </w:tcPr>
          <w:p>
            <w:r>
              <w:rPr>
                <w:sz w:val="17"/>
              </w:rPr>
              <w:t>Enterprise integration boundary.</w:t>
            </w:r>
          </w:p>
        </w:tc>
      </w:tr>
      <w:tr>
        <w:tc>
          <w:tcPr>
            <w:tcW w:type="dxa" w:w="3408"/>
            <w:vAlign w:val="top"/>
          </w:tcPr>
          <w:p>
            <w:r>
              <w:rPr>
                <w:sz w:val="17"/>
              </w:rPr>
              <w:t>Integration Runtime</w:t>
            </w:r>
          </w:p>
        </w:tc>
        <w:tc>
          <w:tcPr>
            <w:tcW w:type="dxa" w:w="3408"/>
            <w:vAlign w:val="top"/>
          </w:tcPr>
          <w:p>
            <w:r>
              <w:rPr>
                <w:sz w:val="17"/>
              </w:rPr>
              <w:t>REST/Kafka/MQTT/JDBC execution with idempotency, retry and circuit breaking.</w:t>
            </w:r>
          </w:p>
        </w:tc>
        <w:tc>
          <w:tcPr>
            <w:tcW w:type="dxa" w:w="3408"/>
            <w:vAlign w:val="top"/>
          </w:tcPr>
          <w:p>
            <w:r>
              <w:rPr>
                <w:sz w:val="17"/>
              </w:rPr>
              <w:t>IT/external system boundary.</w:t>
            </w:r>
          </w:p>
        </w:tc>
      </w:tr>
      <w:tr>
        <w:tc>
          <w:tcPr>
            <w:tcW w:type="dxa" w:w="3408"/>
            <w:vAlign w:val="top"/>
            <w:shd w:fill="DCE6F1"/>
          </w:tcPr>
          <w:p>
            <w:r>
              <w:rPr>
                <w:sz w:val="17"/>
              </w:rPr>
              <w:t>OT Command Gateway</w:t>
            </w:r>
          </w:p>
        </w:tc>
        <w:tc>
          <w:tcPr>
            <w:tcW w:type="dxa" w:w="3408"/>
            <w:vAlign w:val="top"/>
            <w:shd w:fill="DCE6F1"/>
          </w:tcPr>
          <w:p>
            <w:r>
              <w:rPr>
                <w:sz w:val="17"/>
              </w:rPr>
              <w:t>Protocol translation and final deterministic safety enforcement for SCADA/EMS/BESS.</w:t>
            </w:r>
          </w:p>
        </w:tc>
        <w:tc>
          <w:tcPr>
            <w:tcW w:type="dxa" w:w="3408"/>
            <w:vAlign w:val="top"/>
            <w:shd w:fill="DCE6F1"/>
          </w:tcPr>
          <w:p>
            <w:r>
              <w:rPr>
                <w:sz w:val="17"/>
              </w:rPr>
              <w:t>OT DMZ and site boundary.</w:t>
            </w:r>
          </w:p>
        </w:tc>
      </w:tr>
      <w:tr>
        <w:tc>
          <w:tcPr>
            <w:tcW w:type="dxa" w:w="3408"/>
            <w:vAlign w:val="top"/>
          </w:tcPr>
          <w:p>
            <w:r>
              <w:rPr>
                <w:sz w:val="17"/>
              </w:rPr>
              <w:t>Dashboard/BFF</w:t>
            </w:r>
          </w:p>
        </w:tc>
        <w:tc>
          <w:tcPr>
            <w:tcW w:type="dxa" w:w="3408"/>
            <w:vAlign w:val="top"/>
          </w:tcPr>
          <w:p>
            <w:r>
              <w:rPr>
                <w:sz w:val="17"/>
              </w:rPr>
              <w:t>Role-specific live views, actions and server-side aggregation.</w:t>
            </w:r>
          </w:p>
        </w:tc>
        <w:tc>
          <w:tcPr>
            <w:tcW w:type="dxa" w:w="3408"/>
            <w:vAlign w:val="top"/>
          </w:tcPr>
          <w:p>
            <w:r>
              <w:rPr>
                <w:sz w:val="17"/>
              </w:rPr>
              <w:t>User access boundary.</w:t>
            </w:r>
          </w:p>
        </w:tc>
      </w:tr>
      <w:tr>
        <w:tc>
          <w:tcPr>
            <w:tcW w:type="dxa" w:w="3408"/>
            <w:vAlign w:val="top"/>
            <w:shd w:fill="DCE6F1"/>
          </w:tcPr>
          <w:p>
            <w:r>
              <w:rPr>
                <w:sz w:val="17"/>
              </w:rPr>
              <w:t>Export Service</w:t>
            </w:r>
          </w:p>
        </w:tc>
        <w:tc>
          <w:tcPr>
            <w:tcW w:type="dxa" w:w="3408"/>
            <w:vAlign w:val="top"/>
            <w:shd w:fill="DCE6F1"/>
          </w:tcPr>
          <w:p>
            <w:r>
              <w:rPr>
                <w:sz w:val="17"/>
              </w:rPr>
              <w:t>Governed XLSX generation and delivery.</w:t>
            </w:r>
          </w:p>
        </w:tc>
        <w:tc>
          <w:tcPr>
            <w:tcW w:type="dxa" w:w="3408"/>
            <w:vAlign w:val="top"/>
            <w:shd w:fill="DCE6F1"/>
          </w:tcPr>
          <w:p>
            <w:r>
              <w:rPr>
                <w:sz w:val="17"/>
              </w:rPr>
              <w:t>Reporting and data-egress boundary.</w:t>
            </w:r>
          </w:p>
        </w:tc>
      </w:tr>
      <w:tr>
        <w:tc>
          <w:tcPr>
            <w:tcW w:type="dxa" w:w="3408"/>
            <w:vAlign w:val="top"/>
          </w:tcPr>
          <w:p>
            <w:r>
              <w:rPr>
                <w:sz w:val="17"/>
              </w:rPr>
              <w:t>Audit Evidence Store</w:t>
            </w:r>
          </w:p>
        </w:tc>
        <w:tc>
          <w:tcPr>
            <w:tcW w:type="dxa" w:w="3408"/>
            <w:vAlign w:val="top"/>
          </w:tcPr>
          <w:p>
            <w:r>
              <w:rPr>
                <w:sz w:val="17"/>
              </w:rPr>
              <w:t>Immutable evidence and retention enforcement.</w:t>
            </w:r>
          </w:p>
        </w:tc>
        <w:tc>
          <w:tcPr>
            <w:tcW w:type="dxa" w:w="3408"/>
            <w:vAlign w:val="top"/>
          </w:tcPr>
          <w:p>
            <w:r>
              <w:rPr>
                <w:sz w:val="17"/>
              </w:rPr>
              <w:t>Compliance boundary.</w:t>
            </w:r>
          </w:p>
        </w:tc>
      </w:tr>
    </w:tbl>
    <w:p/>
    <w:p>
      <w:r>
        <w:rPr>
          <w:b/>
        </w:rPr>
        <w:t xml:space="preserve">Version 1.1 update scope: </w:t>
      </w:r>
      <w:r>
        <w:t>Platform product positioning; complete decision/signal dashboard lineage; governed Excel export; human-configurable API integration and authentication; approval-gated execution; and strengthened multi-tenant, OT and connector security controls.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6E"/>
        <w:sz w:val="16"/>
      </w:rPr>
      <w:t xml:space="preserve">Confidential client proposal  •  v1.0  •  23 September 2026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96E"/>
        <w:sz w:val="16"/>
      </w:rPr>
      <w:t>Renewable Energy Orchestrator (REO)  |  Solution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37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37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E606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