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007078"/>
          <w:sz w:val="56"/>
        </w:rPr>
        <w:t>Renewable Energy Orchestrator (REO)</w:t>
      </w:r>
    </w:p>
    <w:p>
      <w:pPr>
        <w:jc w:val="center"/>
      </w:pPr>
      <w:r>
        <w:rPr>
          <w:b/>
          <w:color w:val="0D3749"/>
          <w:sz w:val="48"/>
        </w:rPr>
        <w:t>Infrastructure and Sizing Requirements</w:t>
      </w:r>
    </w:p>
    <w:p>
      <w:pPr>
        <w:jc w:val="center"/>
      </w:pPr>
      <w:r>
        <w:rPr>
          <w:color w:val="505F64"/>
          <w:sz w:val="24"/>
        </w:rPr>
        <w:t>Client-ready specification</w:t>
      </w:r>
    </w:p>
    <w:p/>
    <w:tbl>
      <w:tblPr>
        <w:tblStyle w:val="TableGrid"/>
        <w:tblW w:type="auto" w:w="0"/>
        <w:jc w:val="center"/>
        <w:tblLook w:firstColumn="1" w:firstRow="1" w:lastColumn="0" w:lastRow="0" w:noHBand="0" w:noVBand="1" w:val="04A0"/>
      </w:tblPr>
      <w:tblGrid>
        <w:gridCol w:w="5112"/>
        <w:gridCol w:w="5112"/>
      </w:tblGrid>
      <w:tr>
        <w:tc>
          <w:tcPr>
            <w:tcW w:type="dxa" w:w="5112"/>
            <w:shd w:fill="0D3749"/>
          </w:tcPr>
          <w:p>
            <w:r>
              <w:rPr>
                <w:color w:val="FFFFFF"/>
              </w:rPr>
              <w:t>Version</w:t>
            </w:r>
          </w:p>
        </w:tc>
        <w:tc>
          <w:tcPr>
            <w:tcW w:type="dxa" w:w="5112"/>
          </w:tcPr>
          <w:p>
            <w:r>
              <w:t>1.1</w:t>
            </w:r>
          </w:p>
        </w:tc>
      </w:tr>
      <w:tr>
        <w:tc>
          <w:tcPr>
            <w:tcW w:type="dxa" w:w="5112"/>
            <w:shd w:fill="0D3749"/>
          </w:tcPr>
          <w:p>
            <w:r>
              <w:rPr>
                <w:color w:val="FFFFFF"/>
              </w:rPr>
              <w:t>Date</w:t>
            </w:r>
          </w:p>
        </w:tc>
        <w:tc>
          <w:tcPr>
            <w:tcW w:type="dxa" w:w="5112"/>
          </w:tcPr>
          <w:p>
            <w:r>
              <w:t>23 September 2026</w:t>
            </w:r>
          </w:p>
        </w:tc>
      </w:tr>
      <w:tr>
        <w:tc>
          <w:tcPr>
            <w:tcW w:type="dxa" w:w="5112"/>
            <w:shd w:fill="0D3749"/>
          </w:tcPr>
          <w:p>
            <w:r>
              <w:rPr>
                <w:color w:val="FFFFFF"/>
              </w:rPr>
              <w:t>Deployment</w:t>
            </w:r>
          </w:p>
        </w:tc>
        <w:tc>
          <w:tcPr>
            <w:tcW w:type="dxa" w:w="5112"/>
          </w:tcPr>
          <w:p>
            <w:r>
              <w:t>Cloud-neutral; first client on AWS</w:t>
            </w:r>
          </w:p>
        </w:tc>
      </w:tr>
      <w:tr>
        <w:tc>
          <w:tcPr>
            <w:tcW w:type="dxa" w:w="5112"/>
            <w:shd w:fill="0D3749"/>
          </w:tcPr>
          <w:p>
            <w:r>
              <w:rPr>
                <w:color w:val="FFFFFF"/>
              </w:rPr>
              <w:t>Market</w:t>
            </w:r>
          </w:p>
        </w:tc>
        <w:tc>
          <w:tcPr>
            <w:tcW w:type="dxa" w:w="5112"/>
          </w:tcPr>
          <w:p>
            <w:r>
              <w:t>European electricity market; GDPR applicable</w:t>
            </w:r>
          </w:p>
        </w:tc>
      </w:tr>
      <w:tr>
        <w:tc>
          <w:tcPr>
            <w:tcW w:type="dxa" w:w="5112"/>
            <w:shd w:fill="0D3749"/>
          </w:tcPr>
          <w:p>
            <w:r>
              <w:rPr>
                <w:color w:val="FFFFFF"/>
              </w:rPr>
              <w:t>Classification</w:t>
            </w:r>
          </w:p>
        </w:tc>
        <w:tc>
          <w:tcPr>
            <w:tcW w:type="dxa" w:w="5112"/>
          </w:tcPr>
          <w:p>
            <w:r>
              <w:t>Confidential — client proposal</w:t>
            </w:r>
          </w:p>
        </w:tc>
      </w:tr>
    </w:tbl>
    <w:p>
      <w:r>
        <w:br w:type="page"/>
      </w:r>
    </w:p>
    <w:p>
      <w:pPr>
        <w:pStyle w:val="Heading1"/>
      </w:pPr>
      <w:r>
        <w:t>1. Sizing basis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0D3749"/>
            <w:vAlign w:val="center"/>
          </w:tcPr>
          <w:p>
            <w:r>
              <w:rPr>
                <w:color w:val="FFFFFF"/>
              </w:rPr>
              <w:t>Item</w:t>
            </w:r>
          </w:p>
        </w:tc>
        <w:tc>
          <w:tcPr>
            <w:tcW w:type="dxa" w:w="3408"/>
            <w:shd w:fill="0D3749"/>
            <w:vAlign w:val="center"/>
          </w:tcPr>
          <w:p>
            <w:r>
              <w:rPr>
                <w:color w:val="FFFFFF"/>
              </w:rPr>
              <w:t>Initial</w:t>
            </w:r>
          </w:p>
        </w:tc>
        <w:tc>
          <w:tcPr>
            <w:tcW w:type="dxa" w:w="3408"/>
            <w:shd w:fill="0D3749"/>
            <w:vAlign w:val="center"/>
          </w:tcPr>
          <w:p>
            <w:r>
              <w:rPr>
                <w:color w:val="FFFFFF"/>
              </w:rPr>
              <w:t>Expansion design</w:t>
            </w:r>
          </w:p>
        </w:tc>
      </w:tr>
      <w:tr>
        <w:tc>
          <w:tcPr>
            <w:tcW w:type="dxa" w:w="3408"/>
            <w:vAlign w:val="center"/>
          </w:tcPr>
          <w:p>
            <w:r>
              <w:t>Renewable assets</w:t>
            </w:r>
          </w:p>
        </w:tc>
        <w:tc>
          <w:tcPr>
            <w:tcW w:type="dxa" w:w="3408"/>
            <w:vAlign w:val="center"/>
          </w:tcPr>
          <w:p>
            <w:r>
              <w:t>5 solar + 3 wind</w:t>
            </w:r>
          </w:p>
        </w:tc>
        <w:tc>
          <w:tcPr>
            <w:tcW w:type="dxa" w:w="3408"/>
            <w:vAlign w:val="center"/>
          </w:tcPr>
          <w:p>
            <w:r>
              <w:t>16 generation assets</w:t>
            </w:r>
          </w:p>
        </w:tc>
      </w:tr>
      <w:tr>
        <w:tc>
          <w:tcPr>
            <w:tcW w:type="dxa" w:w="3408"/>
            <w:vAlign w:val="center"/>
            <w:shd w:fill="EAF3F4"/>
          </w:tcPr>
          <w:p>
            <w:r>
              <w:t>BESS</w:t>
            </w:r>
          </w:p>
        </w:tc>
        <w:tc>
          <w:tcPr>
            <w:tcW w:type="dxa" w:w="3408"/>
            <w:vAlign w:val="center"/>
            <w:shd w:fill="EAF3F4"/>
          </w:tcPr>
          <w:p>
            <w:r>
              <w:t>2</w:t>
            </w:r>
          </w:p>
        </w:tc>
        <w:tc>
          <w:tcPr>
            <w:tcW w:type="dxa" w:w="3408"/>
            <w:vAlign w:val="center"/>
            <w:shd w:fill="EAF3F4"/>
          </w:tcPr>
          <w:p>
            <w:r>
              <w:t>4</w:t>
            </w:r>
          </w:p>
        </w:tc>
      </w:tr>
      <w:tr>
        <w:tc>
          <w:tcPr>
            <w:tcW w:type="dxa" w:w="3408"/>
            <w:vAlign w:val="center"/>
          </w:tcPr>
          <w:p>
            <w:r>
              <w:t>Industrial consumers</w:t>
            </w:r>
          </w:p>
        </w:tc>
        <w:tc>
          <w:tcPr>
            <w:tcW w:type="dxa" w:w="3408"/>
            <w:vAlign w:val="center"/>
          </w:tcPr>
          <w:p>
            <w:r>
              <w:t>Several; assume up to 20 controllable/load groups</w:t>
            </w:r>
          </w:p>
        </w:tc>
        <w:tc>
          <w:tcPr>
            <w:tcW w:type="dxa" w:w="3408"/>
            <w:vAlign w:val="center"/>
          </w:tcPr>
          <w:p>
            <w:r>
              <w:t>40</w:t>
            </w:r>
          </w:p>
        </w:tc>
      </w:tr>
      <w:tr>
        <w:tc>
          <w:tcPr>
            <w:tcW w:type="dxa" w:w="3408"/>
            <w:vAlign w:val="center"/>
            <w:shd w:fill="EAF3F4"/>
          </w:tcPr>
          <w:p>
            <w:r>
              <w:t>Sites</w:t>
            </w:r>
          </w:p>
        </w:tc>
        <w:tc>
          <w:tcPr>
            <w:tcW w:type="dxa" w:w="3408"/>
            <w:vAlign w:val="center"/>
            <w:shd w:fill="EAF3F4"/>
          </w:tcPr>
          <w:p>
            <w:r>
              <w:t>Assume up to 10</w:t>
            </w:r>
          </w:p>
        </w:tc>
        <w:tc>
          <w:tcPr>
            <w:tcW w:type="dxa" w:w="3408"/>
            <w:vAlign w:val="center"/>
            <w:shd w:fill="EAF3F4"/>
          </w:tcPr>
          <w:p>
            <w:r>
              <w:t>20</w:t>
            </w:r>
          </w:p>
        </w:tc>
      </w:tr>
      <w:tr>
        <w:tc>
          <w:tcPr>
            <w:tcW w:type="dxa" w:w="3408"/>
            <w:vAlign w:val="center"/>
          </w:tcPr>
          <w:p>
            <w:r>
              <w:t>Telemetry tags</w:t>
            </w:r>
          </w:p>
        </w:tc>
        <w:tc>
          <w:tcPr>
            <w:tcW w:type="dxa" w:w="3408"/>
            <w:vAlign w:val="center"/>
          </w:tcPr>
          <w:p>
            <w:r>
              <w:t>Design basis 10,000 active tags</w:t>
            </w:r>
          </w:p>
        </w:tc>
        <w:tc>
          <w:tcPr>
            <w:tcW w:type="dxa" w:w="3408"/>
            <w:vAlign w:val="center"/>
          </w:tcPr>
          <w:p>
            <w:r>
              <w:t>20,000 active tags</w:t>
            </w:r>
          </w:p>
        </w:tc>
      </w:tr>
      <w:tr>
        <w:tc>
          <w:tcPr>
            <w:tcW w:type="dxa" w:w="3408"/>
            <w:vAlign w:val="center"/>
            <w:shd w:fill="EAF3F4"/>
          </w:tcPr>
          <w:p>
            <w:r>
              <w:t>Telemetry rate</w:t>
            </w:r>
          </w:p>
        </w:tc>
        <w:tc>
          <w:tcPr>
            <w:tcW w:type="dxa" w:w="3408"/>
            <w:vAlign w:val="center"/>
            <w:shd w:fill="EAF3F4"/>
          </w:tcPr>
          <w:p>
            <w:r>
              <w:t>Average 1-second at edge; selected values/events to cloud</w:t>
            </w:r>
          </w:p>
        </w:tc>
        <w:tc>
          <w:tcPr>
            <w:tcW w:type="dxa" w:w="3408"/>
            <w:vAlign w:val="center"/>
            <w:shd w:fill="EAF3F4"/>
          </w:tcPr>
          <w:p>
            <w:r>
              <w:t>2× with horizontal scale</w:t>
            </w:r>
          </w:p>
        </w:tc>
      </w:tr>
      <w:tr>
        <w:tc>
          <w:tcPr>
            <w:tcW w:type="dxa" w:w="3408"/>
            <w:vAlign w:val="center"/>
          </w:tcPr>
          <w:p>
            <w:r>
              <w:t>Users</w:t>
            </w:r>
          </w:p>
        </w:tc>
        <w:tc>
          <w:tcPr>
            <w:tcW w:type="dxa" w:w="3408"/>
            <w:vAlign w:val="center"/>
          </w:tcPr>
          <w:p>
            <w:r>
              <w:t>50 named / 15 concurrent</w:t>
            </w:r>
          </w:p>
        </w:tc>
        <w:tc>
          <w:tcPr>
            <w:tcW w:type="dxa" w:w="3408"/>
            <w:vAlign w:val="center"/>
          </w:tcPr>
          <w:p>
            <w:r>
              <w:t>100 named / 30 concurrent</w:t>
            </w:r>
          </w:p>
        </w:tc>
      </w:tr>
      <w:tr>
        <w:tc>
          <w:tcPr>
            <w:tcW w:type="dxa" w:w="3408"/>
            <w:vAlign w:val="center"/>
            <w:shd w:fill="EAF3F4"/>
          </w:tcPr>
          <w:p>
            <w:r>
              <w:t>Decision cadence</w:t>
            </w:r>
          </w:p>
        </w:tc>
        <w:tc>
          <w:tcPr>
            <w:tcW w:type="dxa" w:w="3408"/>
            <w:vAlign w:val="center"/>
            <w:shd w:fill="EAF3F4"/>
          </w:tcPr>
          <w:p>
            <w:r>
              <w:t>10 minutes plus event-driven</w:t>
            </w:r>
          </w:p>
        </w:tc>
        <w:tc>
          <w:tcPr>
            <w:tcW w:type="dxa" w:w="3408"/>
            <w:vAlign w:val="center"/>
            <w:shd w:fill="EAF3F4"/>
          </w:tcPr>
          <w:p>
            <w:r>
              <w:t>Same; more parallel tenants/assets</w:t>
            </w:r>
          </w:p>
        </w:tc>
      </w:tr>
      <w:tr>
        <w:tc>
          <w:tcPr>
            <w:tcW w:type="dxa" w:w="3408"/>
            <w:vAlign w:val="center"/>
          </w:tcPr>
          <w:p>
            <w:r>
              <w:t>Planning horizons</w:t>
            </w:r>
          </w:p>
        </w:tc>
        <w:tc>
          <w:tcPr>
            <w:tcW w:type="dxa" w:w="3408"/>
            <w:vAlign w:val="center"/>
          </w:tcPr>
          <w:p>
            <w:r>
              <w:t>12h, 24h, 48h, 7d</w:t>
            </w:r>
          </w:p>
        </w:tc>
        <w:tc>
          <w:tcPr>
            <w:tcW w:type="dxa" w:w="3408"/>
            <w:vAlign w:val="center"/>
          </w:tcPr>
          <w:p>
            <w:r>
              <w:t>Same</w:t>
            </w:r>
          </w:p>
        </w:tc>
      </w:tr>
      <w:tr>
        <w:tc>
          <w:tcPr>
            <w:tcW w:type="dxa" w:w="3408"/>
            <w:vAlign w:val="center"/>
            <w:shd w:fill="EAF3F4"/>
          </w:tcPr>
          <w:p>
            <w:r>
              <w:t>Availability</w:t>
            </w:r>
          </w:p>
        </w:tc>
        <w:tc>
          <w:tcPr>
            <w:tcW w:type="dxa" w:w="3408"/>
            <w:vAlign w:val="center"/>
            <w:shd w:fill="EAF3F4"/>
          </w:tcPr>
          <w:p>
            <w:r>
              <w:t>99.95% control-plane target</w:t>
            </w:r>
          </w:p>
        </w:tc>
        <w:tc>
          <w:tcPr>
            <w:tcW w:type="dxa" w:w="3408"/>
            <w:vAlign w:val="center"/>
            <w:shd w:fill="EAF3F4"/>
          </w:tcPr>
          <w:p>
            <w:r>
              <w:t>Same</w:t>
            </w:r>
          </w:p>
        </w:tc>
      </w:tr>
    </w:tbl>
    <w:p>
      <w:pPr>
        <w:pStyle w:val="Heading1"/>
      </w:pPr>
      <w:r>
        <w:t>2. AWS production baseline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0D3749"/>
            <w:vAlign w:val="center"/>
          </w:tcPr>
          <w:p>
            <w:r>
              <w:rPr>
                <w:color w:val="FFFFFF"/>
              </w:rPr>
              <w:t>Area</w:t>
            </w:r>
          </w:p>
        </w:tc>
        <w:tc>
          <w:tcPr>
            <w:tcW w:type="dxa" w:w="3408"/>
            <w:shd w:fill="0D3749"/>
            <w:vAlign w:val="center"/>
          </w:tcPr>
          <w:p>
            <w:r>
              <w:rPr>
                <w:color w:val="FFFFFF"/>
              </w:rPr>
              <w:t>Requirement</w:t>
            </w:r>
          </w:p>
        </w:tc>
        <w:tc>
          <w:tcPr>
            <w:tcW w:type="dxa" w:w="3408"/>
            <w:shd w:fill="0D3749"/>
            <w:vAlign w:val="center"/>
          </w:tcPr>
          <w:p>
            <w:r>
              <w:rPr>
                <w:color w:val="FFFFFF"/>
              </w:rPr>
              <w:t>Baseline</w:t>
            </w:r>
          </w:p>
        </w:tc>
      </w:tr>
      <w:tr>
        <w:tc>
          <w:tcPr>
            <w:tcW w:type="dxa" w:w="3408"/>
            <w:vAlign w:val="center"/>
          </w:tcPr>
          <w:p>
            <w:r>
              <w:t>Accounts</w:t>
            </w:r>
          </w:p>
        </w:tc>
        <w:tc>
          <w:tcPr>
            <w:tcW w:type="dxa" w:w="3408"/>
            <w:vAlign w:val="center"/>
          </w:tcPr>
          <w:p>
            <w:r>
              <w:t>Separate management/log archive/security/shared services/non-production/production; dedicated client production account recommended.</w:t>
            </w:r>
          </w:p>
        </w:tc>
        <w:tc>
          <w:tcPr>
            <w:tcW w:type="dxa" w:w="3408"/>
            <w:vAlign w:val="center"/>
          </w:tcPr>
          <w:p>
            <w:r>
              <w:t>7+ AWS accounts</w:t>
            </w:r>
          </w:p>
        </w:tc>
      </w:tr>
      <w:tr>
        <w:tc>
          <w:tcPr>
            <w:tcW w:type="dxa" w:w="3408"/>
            <w:vAlign w:val="center"/>
            <w:shd w:fill="EAF3F4"/>
          </w:tcPr>
          <w:p>
            <w:r>
              <w:t>Regions/AZ</w:t>
            </w:r>
          </w:p>
        </w:tc>
        <w:tc>
          <w:tcPr>
            <w:tcW w:type="dxa" w:w="3408"/>
            <w:vAlign w:val="center"/>
            <w:shd w:fill="EAF3F4"/>
          </w:tcPr>
          <w:p>
            <w:r>
              <w:t>Primary EU region with three AZs; secondary EU region for backup/DR if required.</w:t>
            </w:r>
          </w:p>
        </w:tc>
        <w:tc>
          <w:tcPr>
            <w:tcW w:type="dxa" w:w="3408"/>
            <w:vAlign w:val="center"/>
            <w:shd w:fill="EAF3F4"/>
          </w:tcPr>
          <w:p>
            <w:r>
              <w:t>3 AZ + optional DR region</w:t>
            </w:r>
          </w:p>
        </w:tc>
      </w:tr>
      <w:tr>
        <w:tc>
          <w:tcPr>
            <w:tcW w:type="dxa" w:w="3408"/>
            <w:vAlign w:val="center"/>
          </w:tcPr>
          <w:p>
            <w:r>
              <w:t>EKS control</w:t>
            </w:r>
          </w:p>
        </w:tc>
        <w:tc>
          <w:tcPr>
            <w:tcW w:type="dxa" w:w="3408"/>
            <w:vAlign w:val="center"/>
          </w:tcPr>
          <w:p>
            <w:r>
              <w:t>Managed EKS, three AZs, autoscaling, private endpoint preferred.</w:t>
            </w:r>
          </w:p>
        </w:tc>
        <w:tc>
          <w:tcPr>
            <w:tcW w:type="dxa" w:w="3408"/>
            <w:vAlign w:val="center"/>
          </w:tcPr>
          <w:p>
            <w:r>
              <w:t>1 prod cluster; optional dedicated tenant cluster</w:t>
            </w:r>
          </w:p>
        </w:tc>
      </w:tr>
      <w:tr>
        <w:tc>
          <w:tcPr>
            <w:tcW w:type="dxa" w:w="3408"/>
            <w:vAlign w:val="center"/>
            <w:shd w:fill="EAF3F4"/>
          </w:tcPr>
          <w:p>
            <w:r>
              <w:t>System nodes</w:t>
            </w:r>
          </w:p>
        </w:tc>
        <w:tc>
          <w:tcPr>
            <w:tcW w:type="dxa" w:w="3408"/>
            <w:vAlign w:val="center"/>
            <w:shd w:fill="EAF3F4"/>
          </w:tcPr>
          <w:p>
            <w:r>
              <w:t>General services, minimum 3 nodes.</w:t>
            </w:r>
          </w:p>
        </w:tc>
        <w:tc>
          <w:tcPr>
            <w:tcW w:type="dxa" w:w="3408"/>
            <w:vAlign w:val="center"/>
            <w:shd w:fill="EAF3F4"/>
          </w:tcPr>
          <w:p>
            <w:r>
              <w:t>3 × 8 vCPU / 32 GiB</w:t>
            </w:r>
          </w:p>
        </w:tc>
      </w:tr>
      <w:tr>
        <w:tc>
          <w:tcPr>
            <w:tcW w:type="dxa" w:w="3408"/>
            <w:vAlign w:val="center"/>
          </w:tcPr>
          <w:p>
            <w:r>
              <w:t>Application nodes</w:t>
            </w:r>
          </w:p>
        </w:tc>
        <w:tc>
          <w:tcPr>
            <w:tcW w:type="dxa" w:w="3408"/>
            <w:vAlign w:val="center"/>
          </w:tcPr>
          <w:p>
            <w:r>
              <w:t>APIs, twin, policy, dashboard, connectors.</w:t>
            </w:r>
          </w:p>
        </w:tc>
        <w:tc>
          <w:tcPr>
            <w:tcW w:type="dxa" w:w="3408"/>
            <w:vAlign w:val="center"/>
          </w:tcPr>
          <w:p>
            <w:r>
              <w:t>3 × 16 vCPU / 64 GiB, autoscale to 6</w:t>
            </w:r>
          </w:p>
        </w:tc>
      </w:tr>
      <w:tr>
        <w:tc>
          <w:tcPr>
            <w:tcW w:type="dxa" w:w="3408"/>
            <w:vAlign w:val="center"/>
            <w:shd w:fill="EAF3F4"/>
          </w:tcPr>
          <w:p>
            <w:r>
              <w:t>Optimisation nodes</w:t>
            </w:r>
          </w:p>
        </w:tc>
        <w:tc>
          <w:tcPr>
            <w:tcW w:type="dxa" w:w="3408"/>
            <w:vAlign w:val="center"/>
            <w:shd w:fill="EAF3F4"/>
          </w:tcPr>
          <w:p>
            <w:r>
              <w:t>CPU-optimised; solver workers isolated.</w:t>
            </w:r>
          </w:p>
        </w:tc>
        <w:tc>
          <w:tcPr>
            <w:tcW w:type="dxa" w:w="3408"/>
            <w:vAlign w:val="center"/>
            <w:shd w:fill="EAF3F4"/>
          </w:tcPr>
          <w:p>
            <w:r>
              <w:t>2 × 32 vCPU / 128 GiB, autoscale to 6</w:t>
            </w:r>
          </w:p>
        </w:tc>
      </w:tr>
      <w:tr>
        <w:tc>
          <w:tcPr>
            <w:tcW w:type="dxa" w:w="3408"/>
            <w:vAlign w:val="center"/>
          </w:tcPr>
          <w:p>
            <w:r>
              <w:t>ML nodes</w:t>
            </w:r>
          </w:p>
        </w:tc>
        <w:tc>
          <w:tcPr>
            <w:tcW w:type="dxa" w:w="3408"/>
            <w:vAlign w:val="center"/>
          </w:tcPr>
          <w:p>
            <w:r>
              <w:t>Forecast serving/training; GPU optional for multimodal models.</w:t>
            </w:r>
          </w:p>
        </w:tc>
        <w:tc>
          <w:tcPr>
            <w:tcW w:type="dxa" w:w="3408"/>
            <w:vAlign w:val="center"/>
          </w:tcPr>
          <w:p>
            <w:r>
              <w:t>2 × 16 vCPU / 64 GiB; optional 1 GPU worker</w:t>
            </w:r>
          </w:p>
        </w:tc>
      </w:tr>
      <w:tr>
        <w:tc>
          <w:tcPr>
            <w:tcW w:type="dxa" w:w="3408"/>
            <w:vAlign w:val="center"/>
            <w:shd w:fill="EAF3F4"/>
          </w:tcPr>
          <w:p>
            <w:r>
              <w:t>MSK/Kafka</w:t>
            </w:r>
          </w:p>
        </w:tc>
        <w:tc>
          <w:tcPr>
            <w:tcW w:type="dxa" w:w="3408"/>
            <w:vAlign w:val="center"/>
            <w:shd w:fill="EAF3F4"/>
          </w:tcPr>
          <w:p>
            <w:r>
              <w:t>Three-broker multi-AZ or equivalent; size after load test.</w:t>
            </w:r>
          </w:p>
        </w:tc>
        <w:tc>
          <w:tcPr>
            <w:tcW w:type="dxa" w:w="3408"/>
            <w:vAlign w:val="center"/>
            <w:shd w:fill="EAF3F4"/>
          </w:tcPr>
          <w:p>
            <w:r>
              <w:t>3 brokers, production class, encrypted storage</w:t>
            </w:r>
          </w:p>
        </w:tc>
      </w:tr>
      <w:tr>
        <w:tc>
          <w:tcPr>
            <w:tcW w:type="dxa" w:w="3408"/>
            <w:vAlign w:val="center"/>
          </w:tcPr>
          <w:p>
            <w:r>
              <w:t>Aurora PostgreSQL</w:t>
            </w:r>
          </w:p>
        </w:tc>
        <w:tc>
          <w:tcPr>
            <w:tcW w:type="dxa" w:w="3408"/>
            <w:vAlign w:val="center"/>
          </w:tcPr>
          <w:p>
            <w:r>
              <w:t>Multi-AZ writer + readers; decisions/configuration.</w:t>
            </w:r>
          </w:p>
        </w:tc>
        <w:tc>
          <w:tcPr>
            <w:tcW w:type="dxa" w:w="3408"/>
            <w:vAlign w:val="center"/>
          </w:tcPr>
          <w:p>
            <w:r>
              <w:t>1 writer + 2 readers, serverless v2 or provisioned</w:t>
            </w:r>
          </w:p>
        </w:tc>
      </w:tr>
      <w:tr>
        <w:tc>
          <w:tcPr>
            <w:tcW w:type="dxa" w:w="3408"/>
            <w:vAlign w:val="center"/>
            <w:shd w:fill="EAF3F4"/>
          </w:tcPr>
          <w:p>
            <w:r>
              <w:t>Time-series</w:t>
            </w:r>
          </w:p>
        </w:tc>
        <w:tc>
          <w:tcPr>
            <w:tcW w:type="dxa" w:w="3408"/>
            <w:vAlign w:val="center"/>
            <w:shd w:fill="EAF3F4"/>
          </w:tcPr>
          <w:p>
            <w:r>
              <w:t>Timestream or TimescaleDB/RDS according to query/control requirements.</w:t>
            </w:r>
          </w:p>
        </w:tc>
        <w:tc>
          <w:tcPr>
            <w:tcW w:type="dxa" w:w="3408"/>
            <w:vAlign w:val="center"/>
            <w:shd w:fill="EAF3F4"/>
          </w:tcPr>
          <w:p>
            <w:r>
              <w:t>Retention tiers sized after tag-frequency validation</w:t>
            </w:r>
          </w:p>
        </w:tc>
      </w:tr>
      <w:tr>
        <w:tc>
          <w:tcPr>
            <w:tcW w:type="dxa" w:w="3408"/>
            <w:vAlign w:val="center"/>
          </w:tcPr>
          <w:p>
            <w:r>
              <w:t>S3</w:t>
            </w:r>
          </w:p>
        </w:tc>
        <w:tc>
          <w:tcPr>
            <w:tcW w:type="dxa" w:w="3408"/>
            <w:vAlign w:val="center"/>
          </w:tcPr>
          <w:p>
            <w:r>
              <w:t>Raw, curated, lakehouse, model and audit buckets.</w:t>
            </w:r>
          </w:p>
        </w:tc>
        <w:tc>
          <w:tcPr>
            <w:tcW w:type="dxa" w:w="3408"/>
            <w:vAlign w:val="center"/>
          </w:tcPr>
          <w:p>
            <w:r>
              <w:t>Versioning, lifecycle, object lock for audit where approved</w:t>
            </w:r>
          </w:p>
        </w:tc>
      </w:tr>
      <w:tr>
        <w:tc>
          <w:tcPr>
            <w:tcW w:type="dxa" w:w="3408"/>
            <w:vAlign w:val="center"/>
            <w:shd w:fill="EAF3F4"/>
          </w:tcPr>
          <w:p>
            <w:r>
              <w:t>Cache</w:t>
            </w:r>
          </w:p>
        </w:tc>
        <w:tc>
          <w:tcPr>
            <w:tcW w:type="dxa" w:w="3408"/>
            <w:vAlign w:val="center"/>
            <w:shd w:fill="EAF3F4"/>
          </w:tcPr>
          <w:p>
            <w:r>
              <w:t>Redis-compatible multi-AZ.</w:t>
            </w:r>
          </w:p>
        </w:tc>
        <w:tc>
          <w:tcPr>
            <w:tcW w:type="dxa" w:w="3408"/>
            <w:vAlign w:val="center"/>
            <w:shd w:fill="EAF3F4"/>
          </w:tcPr>
          <w:p>
            <w:r>
              <w:t>2+ nodes with automatic failover</w:t>
            </w:r>
          </w:p>
        </w:tc>
      </w:tr>
      <w:tr>
        <w:tc>
          <w:tcPr>
            <w:tcW w:type="dxa" w:w="3408"/>
            <w:vAlign w:val="center"/>
          </w:tcPr>
          <w:p>
            <w:r>
              <w:t>Ingress</w:t>
            </w:r>
          </w:p>
        </w:tc>
        <w:tc>
          <w:tcPr>
            <w:tcW w:type="dxa" w:w="3408"/>
            <w:vAlign w:val="center"/>
          </w:tcPr>
          <w:p>
            <w:r>
              <w:t>WAF + private/public ALB/API Gateway as needed.</w:t>
            </w:r>
          </w:p>
        </w:tc>
        <w:tc>
          <w:tcPr>
            <w:tcW w:type="dxa" w:w="3408"/>
            <w:vAlign w:val="center"/>
          </w:tcPr>
          <w:p>
            <w:r>
              <w:t>Multi-AZ</w:t>
            </w:r>
          </w:p>
        </w:tc>
      </w:tr>
      <w:tr>
        <w:tc>
          <w:tcPr>
            <w:tcW w:type="dxa" w:w="3408"/>
            <w:vAlign w:val="center"/>
            <w:shd w:fill="EAF3F4"/>
          </w:tcPr>
          <w:p>
            <w:r>
              <w:t>Connectivity</w:t>
            </w:r>
          </w:p>
        </w:tc>
        <w:tc>
          <w:tcPr>
            <w:tcW w:type="dxa" w:w="3408"/>
            <w:vAlign w:val="center"/>
            <w:shd w:fill="EAF3F4"/>
          </w:tcPr>
          <w:p>
            <w:r>
              <w:t>Direct Connect preferred plus VPN backup from client/OT DMZ.</w:t>
            </w:r>
          </w:p>
        </w:tc>
        <w:tc>
          <w:tcPr>
            <w:tcW w:type="dxa" w:w="3408"/>
            <w:vAlign w:val="center"/>
            <w:shd w:fill="EAF3F4"/>
          </w:tcPr>
          <w:p>
            <w:r>
              <w:t>Redundant paths</w:t>
            </w:r>
          </w:p>
        </w:tc>
      </w:tr>
      <w:tr>
        <w:tc>
          <w:tcPr>
            <w:tcW w:type="dxa" w:w="3408"/>
            <w:vAlign w:val="center"/>
          </w:tcPr>
          <w:p>
            <w:r>
              <w:t>Edge gateways</w:t>
            </w:r>
          </w:p>
        </w:tc>
        <w:tc>
          <w:tcPr>
            <w:tcW w:type="dxa" w:w="3408"/>
            <w:vAlign w:val="center"/>
          </w:tcPr>
          <w:p>
            <w:r>
              <w:t>Industrial x86_64, TPM, dual NIC, redundant power, SSD.</w:t>
            </w:r>
          </w:p>
        </w:tc>
        <w:tc>
          <w:tcPr>
            <w:tcW w:type="dxa" w:w="3408"/>
            <w:vAlign w:val="center"/>
          </w:tcPr>
          <w:p>
            <w:r>
              <w:t>2 per critical site; minimum 4–8 cores, 16–32 GiB RAM, 512 GiB SSD</w:t>
            </w:r>
          </w:p>
        </w:tc>
      </w:tr>
      <w:tr>
        <w:tc>
          <w:tcPr>
            <w:tcW w:type="dxa" w:w="3408"/>
            <w:vAlign w:val="center"/>
            <w:shd w:fill="EAF3F4"/>
          </w:tcPr>
          <w:p>
            <w:r>
              <w:t>Observability</w:t>
            </w:r>
          </w:p>
        </w:tc>
        <w:tc>
          <w:tcPr>
            <w:tcW w:type="dxa" w:w="3408"/>
            <w:vAlign w:val="center"/>
            <w:shd w:fill="EAF3F4"/>
          </w:tcPr>
          <w:p>
            <w:r>
              <w:t>Metrics/logs/traces with 30–90 day hot retention and archive.</w:t>
            </w:r>
          </w:p>
        </w:tc>
        <w:tc>
          <w:tcPr>
            <w:tcW w:type="dxa" w:w="3408"/>
            <w:vAlign w:val="center"/>
            <w:shd w:fill="EAF3F4"/>
          </w:tcPr>
          <w:p>
            <w:r>
              <w:t>Capacity based on 2× event volume</w:t>
            </w:r>
          </w:p>
        </w:tc>
      </w:tr>
      <w:tr>
        <w:tc>
          <w:tcPr>
            <w:tcW w:type="dxa" w:w="3408"/>
            <w:vAlign w:val="center"/>
          </w:tcPr>
          <w:p>
            <w:r>
              <w:t>Backup</w:t>
            </w:r>
          </w:p>
        </w:tc>
        <w:tc>
          <w:tcPr>
            <w:tcW w:type="dxa" w:w="3408"/>
            <w:vAlign w:val="center"/>
          </w:tcPr>
          <w:p>
            <w:r>
              <w:t>Central backup vault, immutable retention and restore testing.</w:t>
            </w:r>
          </w:p>
        </w:tc>
        <w:tc>
          <w:tcPr>
            <w:tcW w:type="dxa" w:w="3408"/>
            <w:vAlign w:val="center"/>
          </w:tcPr>
          <w:p>
            <w:r>
              <w:t>Daily/full plus PITR; client policy governs retention</w:t>
            </w:r>
          </w:p>
        </w:tc>
      </w:tr>
    </w:tbl>
    <w:p>
      <w:pPr>
        <w:pStyle w:val="Heading1"/>
      </w:pPr>
      <w:r>
        <w:t>3. Network and OT requirements</w:t>
      </w:r>
    </w:p>
    <w:p>
      <w:pPr>
        <w:pStyle w:val="ListBullet"/>
      </w:pPr>
      <w:r>
        <w:t>Industrial edge resides in site DMZ or approved OT zone; dual-homed designs require client cybersecurity approval.</w:t>
      </w:r>
    </w:p>
    <w:p>
      <w:pPr>
        <w:pStyle w:val="ListBullet"/>
      </w:pPr>
      <w:r>
        <w:t>Outbound-initiated mTLS to cloud/private endpoints is preferred. Inbound OT access from the cloud is prohibited by default.</w:t>
      </w:r>
    </w:p>
    <w:p>
      <w:pPr>
        <w:pStyle w:val="ListBullet"/>
      </w:pPr>
      <w:r>
        <w:t>Separate telemetry and command channels, identities and firewall rules.</w:t>
      </w:r>
    </w:p>
    <w:p>
      <w:pPr>
        <w:pStyle w:val="ListBullet"/>
      </w:pPr>
      <w:r>
        <w:t>Redundant Direct Connect/private WAN where production criticality justifies it, with encrypted VPN failover.</w:t>
      </w:r>
    </w:p>
    <w:p>
      <w:pPr>
        <w:pStyle w:val="ListBullet"/>
      </w:pPr>
      <w:r>
        <w:t>DNS, NTP/PTP and certificate lifecycle must function during partial disconnection.</w:t>
      </w:r>
    </w:p>
    <w:p>
      <w:pPr>
        <w:pStyle w:val="ListBullet"/>
      </w:pPr>
      <w:r>
        <w:t>Allow-listed endpoints/ports documented per adapter; no broad internet access from OT.</w:t>
      </w:r>
    </w:p>
    <w:p>
      <w:pPr>
        <w:pStyle w:val="ListBullet"/>
      </w:pPr>
      <w:r>
        <w:t>Bandwidth estimate must be validated from tag count, sample rate and compression. Use edge filtering/aggregation while preserving events required for safety and audit.</w:t>
      </w:r>
    </w:p>
    <w:p>
      <w:pPr>
        <w:pStyle w:val="Heading1"/>
      </w:pPr>
      <w:r>
        <w:t>4. Environment topology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0D3749"/>
            <w:vAlign w:val="center"/>
          </w:tcPr>
          <w:p>
            <w:r>
              <w:rPr>
                <w:color w:val="FFFFFF"/>
              </w:rPr>
              <w:t>Environment</w:t>
            </w:r>
          </w:p>
        </w:tc>
        <w:tc>
          <w:tcPr>
            <w:tcW w:type="dxa" w:w="3408"/>
            <w:shd w:fill="0D3749"/>
            <w:vAlign w:val="center"/>
          </w:tcPr>
          <w:p>
            <w:r>
              <w:rPr>
                <w:color w:val="FFFFFF"/>
              </w:rPr>
              <w:t>Purpose</w:t>
            </w:r>
          </w:p>
        </w:tc>
        <w:tc>
          <w:tcPr>
            <w:tcW w:type="dxa" w:w="3408"/>
            <w:shd w:fill="0D3749"/>
            <w:vAlign w:val="center"/>
          </w:tcPr>
          <w:p>
            <w:r>
              <w:rPr>
                <w:color w:val="FFFFFF"/>
              </w:rPr>
              <w:t>Data/control policy</w:t>
            </w:r>
          </w:p>
        </w:tc>
      </w:tr>
      <w:tr>
        <w:tc>
          <w:tcPr>
            <w:tcW w:type="dxa" w:w="3408"/>
            <w:vAlign w:val="center"/>
          </w:tcPr>
          <w:p>
            <w:r>
              <w:t>Developer</w:t>
            </w:r>
          </w:p>
        </w:tc>
        <w:tc>
          <w:tcPr>
            <w:tcW w:type="dxa" w:w="3408"/>
            <w:vAlign w:val="center"/>
          </w:tcPr>
          <w:p>
            <w:r>
              <w:t>Local/unit development</w:t>
            </w:r>
          </w:p>
        </w:tc>
        <w:tc>
          <w:tcPr>
            <w:tcW w:type="dxa" w:w="3408"/>
            <w:vAlign w:val="center"/>
          </w:tcPr>
          <w:p>
            <w:r>
              <w:t>Synthetic data only; no OT connectivity.</w:t>
            </w:r>
          </w:p>
        </w:tc>
      </w:tr>
      <w:tr>
        <w:tc>
          <w:tcPr>
            <w:tcW w:type="dxa" w:w="3408"/>
            <w:vAlign w:val="center"/>
            <w:shd w:fill="EAF3F4"/>
          </w:tcPr>
          <w:p>
            <w:r>
              <w:t>Integration</w:t>
            </w:r>
          </w:p>
        </w:tc>
        <w:tc>
          <w:tcPr>
            <w:tcW w:type="dxa" w:w="3408"/>
            <w:vAlign w:val="center"/>
            <w:shd w:fill="EAF3F4"/>
          </w:tcPr>
          <w:p>
            <w:r>
              <w:t>Connector and contract tests</w:t>
            </w:r>
          </w:p>
        </w:tc>
        <w:tc>
          <w:tcPr>
            <w:tcW w:type="dxa" w:w="3408"/>
            <w:vAlign w:val="center"/>
            <w:shd w:fill="EAF3F4"/>
          </w:tcPr>
          <w:p>
            <w:r>
              <w:t>Masked data; simulators.</w:t>
            </w:r>
          </w:p>
        </w:tc>
      </w:tr>
      <w:tr>
        <w:tc>
          <w:tcPr>
            <w:tcW w:type="dxa" w:w="3408"/>
            <w:vAlign w:val="center"/>
          </w:tcPr>
          <w:p>
            <w:r>
              <w:t>Test</w:t>
            </w:r>
          </w:p>
        </w:tc>
        <w:tc>
          <w:tcPr>
            <w:tcW w:type="dxa" w:w="3408"/>
            <w:vAlign w:val="center"/>
          </w:tcPr>
          <w:p>
            <w:r>
              <w:t>Functional/end-to-end</w:t>
            </w:r>
          </w:p>
        </w:tc>
        <w:tc>
          <w:tcPr>
            <w:tcW w:type="dxa" w:w="3408"/>
            <w:vAlign w:val="center"/>
          </w:tcPr>
          <w:p>
            <w:r>
              <w:t>Synthetic or masked data; simulated commands.</w:t>
            </w:r>
          </w:p>
        </w:tc>
      </w:tr>
      <w:tr>
        <w:tc>
          <w:tcPr>
            <w:tcW w:type="dxa" w:w="3408"/>
            <w:vAlign w:val="center"/>
            <w:shd w:fill="EAF3F4"/>
          </w:tcPr>
          <w:p>
            <w:r>
              <w:t>Pre-production</w:t>
            </w:r>
          </w:p>
        </w:tc>
        <w:tc>
          <w:tcPr>
            <w:tcW w:type="dxa" w:w="3408"/>
            <w:vAlign w:val="center"/>
            <w:shd w:fill="EAF3F4"/>
          </w:tcPr>
          <w:p>
            <w:r>
              <w:t>Performance, security, DR and HIL/SIL</w:t>
            </w:r>
          </w:p>
        </w:tc>
        <w:tc>
          <w:tcPr>
            <w:tcW w:type="dxa" w:w="3408"/>
            <w:vAlign w:val="center"/>
            <w:shd w:fill="EAF3F4"/>
          </w:tcPr>
          <w:p>
            <w:r>
              <w:t>Production-like; isolated SCADA simulator.</w:t>
            </w:r>
          </w:p>
        </w:tc>
      </w:tr>
      <w:tr>
        <w:tc>
          <w:tcPr>
            <w:tcW w:type="dxa" w:w="3408"/>
            <w:vAlign w:val="center"/>
          </w:tcPr>
          <w:p>
            <w:r>
              <w:t>Production</w:t>
            </w:r>
          </w:p>
        </w:tc>
        <w:tc>
          <w:tcPr>
            <w:tcW w:type="dxa" w:w="3408"/>
            <w:vAlign w:val="center"/>
          </w:tcPr>
          <w:p>
            <w:r>
              <w:t>Live operations</w:t>
            </w:r>
          </w:p>
        </w:tc>
        <w:tc>
          <w:tcPr>
            <w:tcW w:type="dxa" w:w="3408"/>
            <w:vAlign w:val="center"/>
          </w:tcPr>
          <w:p>
            <w:r>
              <w:t>Real data and controlled OT write path.</w:t>
            </w:r>
          </w:p>
        </w:tc>
      </w:tr>
      <w:tr>
        <w:tc>
          <w:tcPr>
            <w:tcW w:type="dxa" w:w="3408"/>
            <w:vAlign w:val="center"/>
            <w:shd w:fill="EAF3F4"/>
          </w:tcPr>
          <w:p>
            <w:r>
              <w:t>DR</w:t>
            </w:r>
          </w:p>
        </w:tc>
        <w:tc>
          <w:tcPr>
            <w:tcW w:type="dxa" w:w="3408"/>
            <w:vAlign w:val="center"/>
            <w:shd w:fill="EAF3F4"/>
          </w:tcPr>
          <w:p>
            <w:r>
              <w:t>Recovery capability</w:t>
            </w:r>
          </w:p>
        </w:tc>
        <w:tc>
          <w:tcPr>
            <w:tcW w:type="dxa" w:w="3408"/>
            <w:vAlign w:val="center"/>
            <w:shd w:fill="EAF3F4"/>
          </w:tcPr>
          <w:p>
            <w:r>
              <w:t>Encrypted replica/backup; no active commands until declared.</w:t>
            </w:r>
          </w:p>
        </w:tc>
      </w:tr>
    </w:tbl>
    <w:p>
      <w:pPr>
        <w:pStyle w:val="Heading1"/>
      </w:pPr>
      <w:r>
        <w:t>5. Capacity and performance tests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Test</w:t>
            </w:r>
          </w:p>
        </w:tc>
        <w:tc>
          <w:tcPr>
            <w:tcW w:type="dxa" w:w="5112"/>
            <w:shd w:fill="0D3749"/>
            <w:vAlign w:val="center"/>
          </w:tcPr>
          <w:p>
            <w:r>
              <w:rPr>
                <w:color w:val="FFFFFF"/>
              </w:rPr>
              <w:t>Minimum acceptance</w:t>
            </w:r>
          </w:p>
        </w:tc>
      </w:tr>
      <w:tr>
        <w:tc>
          <w:tcPr>
            <w:tcW w:type="dxa" w:w="5112"/>
            <w:vAlign w:val="center"/>
          </w:tcPr>
          <w:p>
            <w:r>
              <w:t>Streaming load</w:t>
            </w:r>
          </w:p>
        </w:tc>
        <w:tc>
          <w:tcPr>
            <w:tcW w:type="dxa" w:w="5112"/>
            <w:vAlign w:val="center"/>
          </w:tcPr>
          <w:p>
            <w:r>
              <w:t>2× projected events for four hours without untracked loss.</w:t>
            </w:r>
          </w:p>
        </w:tc>
      </w:tr>
      <w:tr>
        <w:tc>
          <w:tcPr>
            <w:tcW w:type="dxa" w:w="5112"/>
            <w:vAlign w:val="center"/>
            <w:shd w:fill="EAF3F4"/>
          </w:tcPr>
          <w:p>
            <w:r>
              <w:t>Burst</w:t>
            </w:r>
          </w:p>
        </w:tc>
        <w:tc>
          <w:tcPr>
            <w:tcW w:type="dxa" w:w="5112"/>
            <w:vAlign w:val="center"/>
            <w:shd w:fill="EAF3F4"/>
          </w:tcPr>
          <w:p>
            <w:r>
              <w:t>5× normal event rate for five minutes with bounded lag and recovery.</w:t>
            </w:r>
          </w:p>
        </w:tc>
      </w:tr>
      <w:tr>
        <w:tc>
          <w:tcPr>
            <w:tcW w:type="dxa" w:w="5112"/>
            <w:vAlign w:val="center"/>
          </w:tcPr>
          <w:p>
            <w:r>
              <w:t>Optimisation</w:t>
            </w:r>
          </w:p>
        </w:tc>
        <w:tc>
          <w:tcPr>
            <w:tcW w:type="dxa" w:w="5112"/>
            <w:vAlign w:val="center"/>
          </w:tcPr>
          <w:p>
            <w:r>
              <w:t>Portfolio 2× reference size meets normal/fast solve SLOs across all horizons.</w:t>
            </w:r>
          </w:p>
        </w:tc>
      </w:tr>
      <w:tr>
        <w:tc>
          <w:tcPr>
            <w:tcW w:type="dxa" w:w="5112"/>
            <w:vAlign w:val="center"/>
            <w:shd w:fill="EAF3F4"/>
          </w:tcPr>
          <w:p>
            <w:r>
              <w:t>Concurrent scenarios</w:t>
            </w:r>
          </w:p>
        </w:tc>
        <w:tc>
          <w:tcPr>
            <w:tcW w:type="dxa" w:w="5112"/>
            <w:vAlign w:val="center"/>
            <w:shd w:fill="EAF3F4"/>
          </w:tcPr>
          <w:p>
            <w:r>
              <w:t>At least 10 user scenario jobs plus live decision cycle without control SLO impact.</w:t>
            </w:r>
          </w:p>
        </w:tc>
      </w:tr>
      <w:tr>
        <w:tc>
          <w:tcPr>
            <w:tcW w:type="dxa" w:w="5112"/>
            <w:vAlign w:val="center"/>
          </w:tcPr>
          <w:p>
            <w:r>
              <w:t>Dashboard</w:t>
            </w:r>
          </w:p>
        </w:tc>
        <w:tc>
          <w:tcPr>
            <w:tcW w:type="dxa" w:w="5112"/>
            <w:vAlign w:val="center"/>
          </w:tcPr>
          <w:p>
            <w:r>
              <w:t>30 concurrent users at 2× data volume with acceptable P95 response.</w:t>
            </w:r>
          </w:p>
        </w:tc>
      </w:tr>
      <w:tr>
        <w:tc>
          <w:tcPr>
            <w:tcW w:type="dxa" w:w="5112"/>
            <w:vAlign w:val="center"/>
            <w:shd w:fill="EAF3F4"/>
          </w:tcPr>
          <w:p>
            <w:r>
              <w:t>Failover</w:t>
            </w:r>
          </w:p>
        </w:tc>
        <w:tc>
          <w:tcPr>
            <w:tcW w:type="dxa" w:w="5112"/>
            <w:vAlign w:val="center"/>
            <w:shd w:fill="EAF3F4"/>
          </w:tcPr>
          <w:p>
            <w:r>
              <w:t>Node/AZ/broker/database failure does not create unsafe or duplicate command.</w:t>
            </w:r>
          </w:p>
        </w:tc>
      </w:tr>
      <w:tr>
        <w:tc>
          <w:tcPr>
            <w:tcW w:type="dxa" w:w="5112"/>
            <w:vAlign w:val="center"/>
          </w:tcPr>
          <w:p>
            <w:r>
              <w:t>Edge disconnect</w:t>
            </w:r>
          </w:p>
        </w:tc>
        <w:tc>
          <w:tcPr>
            <w:tcW w:type="dxa" w:w="5112"/>
            <w:vAlign w:val="center"/>
          </w:tcPr>
          <w:p>
            <w:r>
              <w:t>24-hour buffer and correct ordered/idempotent replay.</w:t>
            </w:r>
          </w:p>
        </w:tc>
      </w:tr>
      <w:tr>
        <w:tc>
          <w:tcPr>
            <w:tcW w:type="dxa" w:w="5112"/>
            <w:vAlign w:val="center"/>
            <w:shd w:fill="EAF3F4"/>
          </w:tcPr>
          <w:p>
            <w:r>
              <w:t>DR restore</w:t>
            </w:r>
          </w:p>
        </w:tc>
        <w:tc>
          <w:tcPr>
            <w:tcW w:type="dxa" w:w="5112"/>
            <w:vAlign w:val="center"/>
            <w:shd w:fill="EAF3F4"/>
          </w:tcPr>
          <w:p>
            <w:r>
              <w:t>Demonstrated within agreed RTO/RPO.</w:t>
            </w:r>
          </w:p>
        </w:tc>
      </w:tr>
    </w:tbl>
    <w:p>
      <w:pPr>
        <w:pStyle w:val="Heading1"/>
      </w:pPr>
      <w:r>
        <w:t>6. Software and licences</w:t>
      </w:r>
    </w:p>
    <w:p>
      <w:pPr>
        <w:pStyle w:val="ListBullet"/>
      </w:pPr>
      <w:r>
        <w:t>Container orchestration, observability, workflow, database/time-series and model-serving licences must be reviewed for commercial redistribution.</w:t>
      </w:r>
    </w:p>
    <w:p>
      <w:pPr>
        <w:pStyle w:val="ListBullet"/>
      </w:pPr>
      <w:r>
        <w:t>Optimisation solver abstraction supports open-source and commercial solvers. Production performance and licence terms determine final selection.</w:t>
      </w:r>
    </w:p>
    <w:p>
      <w:pPr>
        <w:pStyle w:val="ListBullet"/>
      </w:pPr>
      <w:r>
        <w:t>IEC protocol adapter/gateway and OPC UA SDK licensing/certification may be client/site specific.</w:t>
      </w:r>
    </w:p>
    <w:p>
      <w:pPr>
        <w:pStyle w:val="ListBullet"/>
      </w:pPr>
      <w:r>
        <w:t>Weather, electricity-market and carbon-data feeds require commercial/API licences.</w:t>
      </w:r>
    </w:p>
    <w:p>
      <w:pPr>
        <w:pStyle w:val="ListBullet"/>
      </w:pPr>
      <w:r>
        <w:t>Model/API usage must support EU data residency, contractual confidentiality and no-training controls where required.</w:t>
      </w:r>
    </w:p>
    <w:p>
      <w:pPr>
        <w:pStyle w:val="Heading1"/>
      </w:pPr>
      <w:r>
        <w:t>7. Operations staffing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Function</w:t>
            </w:r>
          </w:p>
        </w:tc>
        <w:tc>
          <w:tcPr>
            <w:tcW w:type="dxa" w:w="5112"/>
            <w:shd w:fill="0D3749"/>
            <w:vAlign w:val="center"/>
          </w:tcPr>
          <w:p>
            <w:r>
              <w:rPr>
                <w:color w:val="FFFFFF"/>
              </w:rPr>
              <w:t>Suggested production coverage</w:t>
            </w:r>
          </w:p>
        </w:tc>
      </w:tr>
      <w:tr>
        <w:tc>
          <w:tcPr>
            <w:tcW w:type="dxa" w:w="5112"/>
            <w:vAlign w:val="center"/>
          </w:tcPr>
          <w:p>
            <w:r>
              <w:t>L1 operations</w:t>
            </w:r>
          </w:p>
        </w:tc>
        <w:tc>
          <w:tcPr>
            <w:tcW w:type="dxa" w:w="5112"/>
            <w:vAlign w:val="center"/>
          </w:tcPr>
          <w:p>
            <w:r>
              <w:t>24×7 monitoring and incident triage for production control clients.</w:t>
            </w:r>
          </w:p>
        </w:tc>
      </w:tr>
      <w:tr>
        <w:tc>
          <w:tcPr>
            <w:tcW w:type="dxa" w:w="5112"/>
            <w:vAlign w:val="center"/>
            <w:shd w:fill="EAF3F4"/>
          </w:tcPr>
          <w:p>
            <w:r>
              <w:t>L2 platform/SRE</w:t>
            </w:r>
          </w:p>
        </w:tc>
        <w:tc>
          <w:tcPr>
            <w:tcW w:type="dxa" w:w="5112"/>
            <w:vAlign w:val="center"/>
            <w:shd w:fill="EAF3F4"/>
          </w:tcPr>
          <w:p>
            <w:r>
              <w:t>On-call for platform, data and integration incidents.</w:t>
            </w:r>
          </w:p>
        </w:tc>
      </w:tr>
      <w:tr>
        <w:tc>
          <w:tcPr>
            <w:tcW w:type="dxa" w:w="5112"/>
            <w:vAlign w:val="center"/>
          </w:tcPr>
          <w:p>
            <w:r>
              <w:t>L3 optimisation/ML</w:t>
            </w:r>
          </w:p>
        </w:tc>
        <w:tc>
          <w:tcPr>
            <w:tcW w:type="dxa" w:w="5112"/>
            <w:vAlign w:val="center"/>
          </w:tcPr>
          <w:p>
            <w:r>
              <w:t>Business-hours plus on-call escalation for model/plan defects.</w:t>
            </w:r>
          </w:p>
        </w:tc>
      </w:tr>
      <w:tr>
        <w:tc>
          <w:tcPr>
            <w:tcW w:type="dxa" w:w="5112"/>
            <w:vAlign w:val="center"/>
            <w:shd w:fill="EAF3F4"/>
          </w:tcPr>
          <w:p>
            <w:r>
              <w:t>OT/site support</w:t>
            </w:r>
          </w:p>
        </w:tc>
        <w:tc>
          <w:tcPr>
            <w:tcW w:type="dxa" w:w="5112"/>
            <w:vAlign w:val="center"/>
            <w:shd w:fill="EAF3F4"/>
          </w:tcPr>
          <w:p>
            <w:r>
              <w:t>Client/site roster for command and SCADA incidents.</w:t>
            </w:r>
          </w:p>
        </w:tc>
      </w:tr>
      <w:tr>
        <w:tc>
          <w:tcPr>
            <w:tcW w:type="dxa" w:w="5112"/>
            <w:vAlign w:val="center"/>
          </w:tcPr>
          <w:p>
            <w:r>
              <w:t>Security/SOC</w:t>
            </w:r>
          </w:p>
        </w:tc>
        <w:tc>
          <w:tcPr>
            <w:tcW w:type="dxa" w:w="5112"/>
            <w:vAlign w:val="center"/>
          </w:tcPr>
          <w:p>
            <w:r>
              <w:t>24×7 monitoring through client or managed SOC.</w:t>
            </w:r>
          </w:p>
        </w:tc>
      </w:tr>
      <w:tr>
        <w:tc>
          <w:tcPr>
            <w:tcW w:type="dxa" w:w="5112"/>
            <w:vAlign w:val="center"/>
            <w:shd w:fill="EAF3F4"/>
          </w:tcPr>
          <w:p>
            <w:r>
              <w:t>Privacy/compliance</w:t>
            </w:r>
          </w:p>
        </w:tc>
        <w:tc>
          <w:tcPr>
            <w:tcW w:type="dxa" w:w="5112"/>
            <w:vAlign w:val="center"/>
            <w:shd w:fill="EAF3F4"/>
          </w:tcPr>
          <w:p>
            <w:r>
              <w:t>DPO/security governance for DPIA, audits and incident obligations.</w:t>
            </w:r>
          </w:p>
        </w:tc>
      </w:tr>
    </w:tbl>
    <w:p>
      <w:pPr>
        <w:pStyle w:val="Heading1"/>
      </w:pPr>
      <w:r>
        <w:t>8. Cost-estimation method</w:t>
      </w:r>
    </w:p>
    <w:p>
      <w:r>
        <w:t>Final cost must be produced after discovery using measured tag volumes, retention, market feeds, solver licences, model usage and DR requirements. The commercial calculator should separate fixed tenant platform cost, variable event/storage/model cost, edge hardware, connectivity, third-party data, solver licences and 24×7 support. Do not price autonomous production before OT site survey and safety-case scope are known.</w:t>
      </w:r>
    </w:p>
    <w:p>
      <w:pPr>
        <w:pStyle w:val="Heading1"/>
      </w:pPr>
      <w:r>
        <w:t>Reference sources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Source</w:t>
            </w:r>
          </w:p>
        </w:tc>
        <w:tc>
          <w:tcPr>
            <w:tcW w:type="dxa" w:w="5112"/>
            <w:shd w:fill="0D3749"/>
            <w:vAlign w:val="center"/>
          </w:tcPr>
          <w:p>
            <w:r>
              <w:rPr>
                <w:color w:val="FFFFFF"/>
              </w:rPr>
              <w:t>Use in specification</w:t>
            </w:r>
          </w:p>
        </w:tc>
      </w:tr>
      <w:tr>
        <w:tc>
          <w:tcPr>
            <w:tcW w:type="dxa" w:w="5112"/>
            <w:vAlign w:val="center"/>
          </w:tcPr>
          <w:p>
            <w:r>
              <w:t>EU Electricity Regulation (EU) 2019/943</w:t>
            </w:r>
          </w:p>
        </w:tc>
        <w:tc>
          <w:tcPr>
            <w:tcW w:type="dxa" w:w="5112"/>
            <w:vAlign w:val="center"/>
          </w:tcPr>
          <w:p>
            <w:r>
              <w:t>Reference imbalance settlement period is 15 minutes, subject to applicable exemptions.</w:t>
            </w:r>
          </w:p>
        </w:tc>
      </w:tr>
      <w:tr>
        <w:tc>
          <w:tcPr>
            <w:tcW w:type="dxa" w:w="5112"/>
            <w:vAlign w:val="center"/>
            <w:shd w:fill="EAF3F4"/>
          </w:tcPr>
          <w:p>
            <w:r>
              <w:t>Commission Regulation (EU) 2017/2195</w:t>
            </w:r>
          </w:p>
        </w:tc>
        <w:tc>
          <w:tcPr>
            <w:tcW w:type="dxa" w:w="5112"/>
            <w:vAlign w:val="center"/>
            <w:shd w:fill="EAF3F4"/>
          </w:tcPr>
          <w:p>
            <w:r>
              <w:t>Electricity balancing and imbalance-settlement framework.</w:t>
            </w:r>
          </w:p>
        </w:tc>
      </w:tr>
      <w:tr>
        <w:tc>
          <w:tcPr>
            <w:tcW w:type="dxa" w:w="5112"/>
            <w:vAlign w:val="center"/>
          </w:tcPr>
          <w:p>
            <w:r>
              <w:t>GDPR Regulation (EU) 2016/679</w:t>
            </w:r>
          </w:p>
        </w:tc>
        <w:tc>
          <w:tcPr>
            <w:tcW w:type="dxa" w:w="5112"/>
            <w:vAlign w:val="center"/>
          </w:tcPr>
          <w:p>
            <w:r>
              <w:t>Data protection by design/default, data minimisation and DPIA obligations.</w:t>
            </w:r>
          </w:p>
        </w:tc>
      </w:tr>
      <w:tr>
        <w:tc>
          <w:tcPr>
            <w:tcW w:type="dxa" w:w="5112"/>
            <w:vAlign w:val="center"/>
            <w:shd w:fill="EAF3F4"/>
          </w:tcPr>
          <w:p>
            <w:r>
              <w:t>NIS2 Directive (EU) 2022/2555</w:t>
            </w:r>
          </w:p>
        </w:tc>
        <w:tc>
          <w:tcPr>
            <w:tcW w:type="dxa" w:w="5112"/>
            <w:vAlign w:val="center"/>
            <w:shd w:fill="EAF3F4"/>
          </w:tcPr>
          <w:p>
            <w:r>
              <w:t>Cybersecurity risk management applicable to relevant energy entities.</w:t>
            </w:r>
          </w:p>
        </w:tc>
      </w:tr>
      <w:tr>
        <w:tc>
          <w:tcPr>
            <w:tcW w:type="dxa" w:w="5112"/>
            <w:vAlign w:val="center"/>
          </w:tcPr>
          <w:p>
            <w:r>
              <w:t>EU AI Act / European Commission guidance</w:t>
            </w:r>
          </w:p>
        </w:tc>
        <w:tc>
          <w:tcPr>
            <w:tcW w:type="dxa" w:w="5112"/>
            <w:vAlign w:val="center"/>
          </w:tcPr>
          <w:p>
            <w:r>
              <w:t>Potential high-risk treatment where AI is a safety component in critical infrastructure; classification must be assessed for the deployed use case.</w:t>
            </w:r>
          </w:p>
        </w:tc>
      </w:tr>
      <w:tr>
        <w:tc>
          <w:tcPr>
            <w:tcW w:type="dxa" w:w="5112"/>
            <w:vAlign w:val="center"/>
            <w:shd w:fill="EAF3F4"/>
          </w:tcPr>
          <w:p>
            <w:r>
              <w:t>IEC 62443 series</w:t>
            </w:r>
          </w:p>
        </w:tc>
        <w:tc>
          <w:tcPr>
            <w:tcW w:type="dxa" w:w="5112"/>
            <w:vAlign w:val="center"/>
            <w:shd w:fill="EAF3F4"/>
          </w:tcPr>
          <w:p>
            <w:r>
              <w:t>Industrial automation and control-system cybersecurity principles.</w:t>
            </w:r>
          </w:p>
        </w:tc>
      </w:tr>
      <w:tr>
        <w:tc>
          <w:tcPr>
            <w:tcW w:type="dxa" w:w="5112"/>
            <w:vAlign w:val="center"/>
          </w:tcPr>
          <w:p>
            <w:r>
              <w:t>AWS IoT SiteWise and AWS IoT Greengrass official documentation</w:t>
            </w:r>
          </w:p>
        </w:tc>
        <w:tc>
          <w:tcPr>
            <w:tcW w:type="dxa" w:w="5112"/>
            <w:vAlign w:val="center"/>
          </w:tcPr>
          <w:p>
            <w:r>
              <w:t>AWS-specific industrial-edge and OPC UA implementation reference.</w:t>
            </w:r>
          </w:p>
        </w:tc>
      </w:tr>
    </w:tbl>
    <w:p>
      <w:r>
        <w:br w:type="page"/>
      </w:r>
    </w:p>
    <w:p>
      <w:pPr>
        <w:pStyle w:val="Heading1"/>
      </w:pPr>
      <w:r>
        <w:t>9. Platform infrastructure extension</w:t>
      </w:r>
    </w:p>
    <w:p>
      <w:r>
        <w:t>The AWS reference baseline shall add capacity for the platform control plane, dashboard backend, decision ledger, approval engine, connector runtime, export workers and immutable audit evidence. Equivalent managed or self-hosted services shall be available for other clouds or on-premises deployments.</w:t>
      </w:r>
    </w:p>
    <w:p>
      <w:r>
        <w:t>Production shall use separate accounts/subscriptions/projects for platform shared services and each regulated tenant where required. Network design shall provide tenant-specific egress controls, private connectivity where possible, an IT/OT DMZ, managed certificate lifecycle, hardware-backed key management and a secrets vault. Connector test traffic and production traffic shall run in separate security contexts.</w:t>
      </w:r>
    </w:p>
    <w:p>
      <w:r>
        <w:t>Export workers shall be isolated from command-processing workloads and scale horizontally. Object storage shall use tenant-specific prefixes or buckets, encryption keys, lifecycle rules and short-lived access URLs. Operational databases shall support high availability; the immutable ledger and audit archive shall use write-once retention where mandated.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Pr>
          <w:p>
            <w:r>
              <w:rPr>
                <w:b/>
                <w:color w:val="FFFFFF"/>
                <w:sz w:val="18"/>
              </w:rPr>
              <w:t>Infrastructure item</w:t>
            </w:r>
          </w:p>
        </w:tc>
        <w:tc>
          <w:tcPr>
            <w:tcW w:type="dxa" w:w="3408"/>
            <w:shd w:fill="1F4E78"/>
            <w:vAlign w:val="center"/>
          </w:tcPr>
          <w:p>
            <w:r>
              <w:rPr>
                <w:b/>
                <w:color w:val="FFFFFF"/>
                <w:sz w:val="18"/>
              </w:rPr>
              <w:t>Initial production baseline</w:t>
            </w:r>
          </w:p>
        </w:tc>
        <w:tc>
          <w:tcPr>
            <w:tcW w:type="dxa" w:w="3408"/>
            <w:shd w:fill="1F4E78"/>
            <w:vAlign w:val="center"/>
          </w:tcPr>
          <w:p>
            <w:r>
              <w:rPr>
                <w:b/>
                <w:color w:val="FFFFFF"/>
                <w:sz w:val="18"/>
              </w:rPr>
              <w:t>2× expansion approach</w:t>
            </w:r>
          </w:p>
        </w:tc>
      </w:tr>
      <w:tr>
        <w:tc>
          <w:tcPr>
            <w:tcW w:type="dxa" w:w="3408"/>
            <w:vAlign w:val="top"/>
          </w:tcPr>
          <w:p>
            <w:r>
              <w:rPr>
                <w:sz w:val="17"/>
              </w:rPr>
              <w:t>Platform control plane</w:t>
            </w:r>
          </w:p>
        </w:tc>
        <w:tc>
          <w:tcPr>
            <w:tcW w:type="dxa" w:w="3408"/>
            <w:vAlign w:val="top"/>
          </w:tcPr>
          <w:p>
            <w:r>
              <w:rPr>
                <w:sz w:val="17"/>
              </w:rPr>
              <w:t>Multi-AZ container service; minimum 3 application replicas; managed relational configuration database.</w:t>
            </w:r>
          </w:p>
        </w:tc>
        <w:tc>
          <w:tcPr>
            <w:tcW w:type="dxa" w:w="3408"/>
            <w:vAlign w:val="top"/>
          </w:tcPr>
          <w:p>
            <w:r>
              <w:rPr>
                <w:sz w:val="17"/>
              </w:rPr>
              <w:t>Horizontal replicas and read replicas; optional regional control-plane standby.</w:t>
            </w:r>
          </w:p>
        </w:tc>
      </w:tr>
      <w:tr>
        <w:tc>
          <w:tcPr>
            <w:tcW w:type="dxa" w:w="3408"/>
            <w:vAlign w:val="top"/>
            <w:shd w:fill="DCE6F1"/>
          </w:tcPr>
          <w:p>
            <w:r>
              <w:rPr>
                <w:sz w:val="17"/>
              </w:rPr>
              <w:t>Decision ledger/event store</w:t>
            </w:r>
          </w:p>
        </w:tc>
        <w:tc>
          <w:tcPr>
            <w:tcW w:type="dxa" w:w="3408"/>
            <w:vAlign w:val="top"/>
            <w:shd w:fill="DCE6F1"/>
          </w:tcPr>
          <w:p>
            <w:r>
              <w:rPr>
                <w:sz w:val="17"/>
              </w:rPr>
              <w:t>Multi-AZ relational or event-store cluster plus object archive; provision for at least 5 million decision/signal events per year.</w:t>
            </w:r>
          </w:p>
        </w:tc>
        <w:tc>
          <w:tcPr>
            <w:tcW w:type="dxa" w:w="3408"/>
            <w:vAlign w:val="top"/>
            <w:shd w:fill="DCE6F1"/>
          </w:tcPr>
          <w:p>
            <w:r>
              <w:rPr>
                <w:sz w:val="17"/>
              </w:rPr>
              <w:t>Partition by tenant/time; add shards/read replicas and archive tiers.</w:t>
            </w:r>
          </w:p>
        </w:tc>
      </w:tr>
      <w:tr>
        <w:tc>
          <w:tcPr>
            <w:tcW w:type="dxa" w:w="3408"/>
            <w:vAlign w:val="top"/>
          </w:tcPr>
          <w:p>
            <w:r>
              <w:rPr>
                <w:sz w:val="17"/>
              </w:rPr>
              <w:t>Dashboard/BFF</w:t>
            </w:r>
          </w:p>
        </w:tc>
        <w:tc>
          <w:tcPr>
            <w:tcW w:type="dxa" w:w="3408"/>
            <w:vAlign w:val="top"/>
          </w:tcPr>
          <w:p>
            <w:r>
              <w:rPr>
                <w:sz w:val="17"/>
              </w:rPr>
              <w:t>Minimum 3 replicas behind WAF/API gateway; WebSocket/SSE support.</w:t>
            </w:r>
          </w:p>
        </w:tc>
        <w:tc>
          <w:tcPr>
            <w:tcW w:type="dxa" w:w="3408"/>
            <w:vAlign w:val="top"/>
          </w:tcPr>
          <w:p>
            <w:r>
              <w:rPr>
                <w:sz w:val="17"/>
              </w:rPr>
              <w:t>Autoscale on concurrent sessions and event fan-out.</w:t>
            </w:r>
          </w:p>
        </w:tc>
      </w:tr>
      <w:tr>
        <w:tc>
          <w:tcPr>
            <w:tcW w:type="dxa" w:w="3408"/>
            <w:vAlign w:val="top"/>
            <w:shd w:fill="DCE6F1"/>
          </w:tcPr>
          <w:p>
            <w:r>
              <w:rPr>
                <w:sz w:val="17"/>
              </w:rPr>
              <w:t>Connector runtime</w:t>
            </w:r>
          </w:p>
        </w:tc>
        <w:tc>
          <w:tcPr>
            <w:tcW w:type="dxa" w:w="3408"/>
            <w:vAlign w:val="top"/>
            <w:shd w:fill="DCE6F1"/>
          </w:tcPr>
          <w:p>
            <w:r>
              <w:rPr>
                <w:sz w:val="17"/>
              </w:rPr>
              <w:t>Separate worker pools per trust zone; minimum 2 workers per active zone.</w:t>
            </w:r>
          </w:p>
        </w:tc>
        <w:tc>
          <w:tcPr>
            <w:tcW w:type="dxa" w:w="3408"/>
            <w:vAlign w:val="top"/>
            <w:shd w:fill="DCE6F1"/>
          </w:tcPr>
          <w:p>
            <w:r>
              <w:rPr>
                <w:sz w:val="17"/>
              </w:rPr>
              <w:t>Scale by connector and throughput; dedicated pools for high-risk tenants.</w:t>
            </w:r>
          </w:p>
        </w:tc>
      </w:tr>
      <w:tr>
        <w:tc>
          <w:tcPr>
            <w:tcW w:type="dxa" w:w="3408"/>
            <w:vAlign w:val="top"/>
          </w:tcPr>
          <w:p>
            <w:r>
              <w:rPr>
                <w:sz w:val="17"/>
              </w:rPr>
              <w:t>Export service</w:t>
            </w:r>
          </w:p>
        </w:tc>
        <w:tc>
          <w:tcPr>
            <w:tcW w:type="dxa" w:w="3408"/>
            <w:vAlign w:val="top"/>
          </w:tcPr>
          <w:p>
            <w:r>
              <w:rPr>
                <w:sz w:val="17"/>
              </w:rPr>
              <w:t>Minimum 2 isolated workers, queue and encrypted object storage.</w:t>
            </w:r>
          </w:p>
        </w:tc>
        <w:tc>
          <w:tcPr>
            <w:tcW w:type="dxa" w:w="3408"/>
            <w:vAlign w:val="top"/>
          </w:tcPr>
          <w:p>
            <w:r>
              <w:rPr>
                <w:sz w:val="17"/>
              </w:rPr>
              <w:t>Autoscale workers; partition large exports and enforce tenant quotas.</w:t>
            </w:r>
          </w:p>
        </w:tc>
      </w:tr>
      <w:tr>
        <w:tc>
          <w:tcPr>
            <w:tcW w:type="dxa" w:w="3408"/>
            <w:vAlign w:val="top"/>
            <w:shd w:fill="DCE6F1"/>
          </w:tcPr>
          <w:p>
            <w:r>
              <w:rPr>
                <w:sz w:val="17"/>
              </w:rPr>
              <w:t>Secrets and PKI</w:t>
            </w:r>
          </w:p>
        </w:tc>
        <w:tc>
          <w:tcPr>
            <w:tcW w:type="dxa" w:w="3408"/>
            <w:vAlign w:val="top"/>
            <w:shd w:fill="DCE6F1"/>
          </w:tcPr>
          <w:p>
            <w:r>
              <w:rPr>
                <w:sz w:val="17"/>
              </w:rPr>
              <w:t>Managed secrets vault, KMS/HSM-backed keys, private CA/certificate manager.</w:t>
            </w:r>
          </w:p>
        </w:tc>
        <w:tc>
          <w:tcPr>
            <w:tcW w:type="dxa" w:w="3408"/>
            <w:vAlign w:val="top"/>
            <w:shd w:fill="DCE6F1"/>
          </w:tcPr>
          <w:p>
            <w:r>
              <w:rPr>
                <w:sz w:val="17"/>
              </w:rPr>
              <w:t>Per-tenant keys and certificate domains; automated rotation.</w:t>
            </w:r>
          </w:p>
        </w:tc>
      </w:tr>
      <w:tr>
        <w:tc>
          <w:tcPr>
            <w:tcW w:type="dxa" w:w="3408"/>
            <w:vAlign w:val="top"/>
          </w:tcPr>
          <w:p>
            <w:r>
              <w:rPr>
                <w:sz w:val="17"/>
              </w:rPr>
              <w:t>Network security</w:t>
            </w:r>
          </w:p>
        </w:tc>
        <w:tc>
          <w:tcPr>
            <w:tcW w:type="dxa" w:w="3408"/>
            <w:vAlign w:val="top"/>
          </w:tcPr>
          <w:p>
            <w:r>
              <w:rPr>
                <w:sz w:val="17"/>
              </w:rPr>
              <w:t>NAT/egress proxy or firewall with FQDN/IP policy, private endpoints, OT DMZ and site VPN/direct connectivity.</w:t>
            </w:r>
          </w:p>
        </w:tc>
        <w:tc>
          <w:tcPr>
            <w:tcW w:type="dxa" w:w="3408"/>
            <w:vAlign w:val="top"/>
          </w:tcPr>
          <w:p>
            <w:r>
              <w:rPr>
                <w:sz w:val="17"/>
              </w:rPr>
              <w:t>Additional egress zones and site gateways; no shared OT paths.</w:t>
            </w:r>
          </w:p>
        </w:tc>
      </w:tr>
      <w:tr>
        <w:tc>
          <w:tcPr>
            <w:tcW w:type="dxa" w:w="3408"/>
            <w:vAlign w:val="top"/>
            <w:shd w:fill="DCE6F1"/>
          </w:tcPr>
          <w:p>
            <w:r>
              <w:rPr>
                <w:sz w:val="17"/>
              </w:rPr>
              <w:t>Observability</w:t>
            </w:r>
          </w:p>
        </w:tc>
        <w:tc>
          <w:tcPr>
            <w:tcW w:type="dxa" w:w="3408"/>
            <w:vAlign w:val="top"/>
            <w:shd w:fill="DCE6F1"/>
          </w:tcPr>
          <w:p>
            <w:r>
              <w:rPr>
                <w:sz w:val="17"/>
              </w:rPr>
              <w:t>Central metrics/logs/traces with tenant tags and secret/PII scrubbing.</w:t>
            </w:r>
          </w:p>
        </w:tc>
        <w:tc>
          <w:tcPr>
            <w:tcW w:type="dxa" w:w="3408"/>
            <w:vAlign w:val="top"/>
            <w:shd w:fill="DCE6F1"/>
          </w:tcPr>
          <w:p>
            <w:r>
              <w:rPr>
                <w:sz w:val="17"/>
              </w:rPr>
              <w:t>Scale storage/ingestion; tenant-specific retention and SIEM forwarding.</w:t>
            </w:r>
          </w:p>
        </w:tc>
      </w:tr>
    </w:tbl>
    <w:p/>
    <w:p>
      <w:r>
        <w:rPr>
          <w:b/>
        </w:rPr>
        <w:t xml:space="preserve">Version 1.1 update scope: </w:t>
      </w:r>
      <w:r>
        <w:t>Platform product positioning; complete decision/signal dashboard lineage; governed Excel export; human-configurable API integration and authentication; approval-gated execution; and strengthened multi-tenant, OT and connector security controls.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6E"/>
        <w:sz w:val="16"/>
      </w:rPr>
      <w:t xml:space="preserve">Confidential client proposal  •  v1.0  •  23 September 2026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96E"/>
        <w:sz w:val="16"/>
      </w:rPr>
      <w:t>Renewable Energy Orchestrator (REO)  |  Infrastructure and Sizing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37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37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E606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