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007078"/>
          <w:sz w:val="56"/>
        </w:rPr>
        <w:t>Renewable Energy Orchestrator (REO)</w:t>
      </w:r>
    </w:p>
    <w:p>
      <w:pPr>
        <w:jc w:val="center"/>
      </w:pPr>
      <w:r>
        <w:rPr>
          <w:b/>
          <w:color w:val="0D3749"/>
          <w:sz w:val="48"/>
        </w:rPr>
        <w:t>Implementation, Validation and Commercialisation Plan</w:t>
      </w:r>
    </w:p>
    <w:p>
      <w:pPr>
        <w:jc w:val="center"/>
      </w:pPr>
      <w:r>
        <w:rPr>
          <w:color w:val="505F64"/>
          <w:sz w:val="24"/>
        </w:rPr>
        <w:t>Client-ready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5112"/>
          </w:tcPr>
          <w:p>
            <w:r>
              <w:t>1.1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Date</w:t>
            </w:r>
          </w:p>
        </w:tc>
        <w:tc>
          <w:tcPr>
            <w:tcW w:type="dxa" w:w="5112"/>
          </w:tcPr>
          <w:p>
            <w:r>
              <w:t>23 September 2026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Deployment</w:t>
            </w:r>
          </w:p>
        </w:tc>
        <w:tc>
          <w:tcPr>
            <w:tcW w:type="dxa" w:w="5112"/>
          </w:tcPr>
          <w:p>
            <w:r>
              <w:t>Cloud-neutral; first client on AWS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Market</w:t>
            </w:r>
          </w:p>
        </w:tc>
        <w:tc>
          <w:tcPr>
            <w:tcW w:type="dxa" w:w="5112"/>
          </w:tcPr>
          <w:p>
            <w:r>
              <w:t>European electricity market; GDPR applicable</w:t>
            </w:r>
          </w:p>
        </w:tc>
      </w:tr>
      <w:tr>
        <w:tc>
          <w:tcPr>
            <w:tcW w:type="dxa" w:w="5112"/>
            <w:shd w:fill="0D3749"/>
          </w:tcPr>
          <w:p>
            <w:r>
              <w:rPr>
                <w:color w:val="FFFFFF"/>
              </w:rPr>
              <w:t>Classification</w:t>
            </w:r>
          </w:p>
        </w:tc>
        <w:tc>
          <w:tcPr>
            <w:tcW w:type="dxa" w:w="5112"/>
          </w:tcPr>
          <w:p>
            <w:r>
              <w:t>Confidential — client proposal</w:t>
            </w:r>
          </w:p>
        </w:tc>
      </w:tr>
    </w:tbl>
    <w:p>
      <w:r>
        <w:br w:type="page"/>
      </w:r>
    </w:p>
    <w:p>
      <w:pPr>
        <w:pStyle w:val="Heading1"/>
      </w:pPr>
      <w:r>
        <w:t>1. Workstreams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Workstream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Deliverables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 and domain</w:t>
            </w:r>
          </w:p>
        </w:tc>
        <w:tc>
          <w:tcPr>
            <w:tcW w:type="dxa" w:w="5112"/>
            <w:vAlign w:val="center"/>
          </w:tcPr>
          <w:p>
            <w:r>
              <w:t>Country/client market rules, objective policy, operating procedures and KPI baseline.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OT integration and safety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Site survey, interface control documents, hazard analysis, command envelopes, HIL/SAT and safety case.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and digital twin</w:t>
            </w:r>
          </w:p>
        </w:tc>
        <w:tc>
          <w:tcPr>
            <w:tcW w:type="dxa" w:w="5112"/>
            <w:vAlign w:val="center"/>
          </w:tcPr>
          <w:p>
            <w:r>
              <w:t>Source inventory, contracts, quality rules, asset hierarchy, topology and historical replay.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Optimisation and AI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Forecasts, scenarios, solver models, agent prompts/guardrails and validation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Platform and security</w:t>
            </w:r>
          </w:p>
        </w:tc>
        <w:tc>
          <w:tcPr>
            <w:tcW w:type="dxa" w:w="5112"/>
            <w:vAlign w:val="center"/>
          </w:tcPr>
          <w:p>
            <w:r>
              <w:t>Cloud/edge infrastructure, IAM, networking, observability, CI/CD, NIS2/IEC 62443 controls.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Privacy and governance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DPIA, records, retention, PII controls, AI risk classification and human oversight.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Change and operations</w:t>
            </w:r>
          </w:p>
        </w:tc>
        <w:tc>
          <w:tcPr>
            <w:tcW w:type="dxa" w:w="5112"/>
            <w:vAlign w:val="center"/>
          </w:tcPr>
          <w:p>
            <w:r>
              <w:t>Training, SOPs, incident response, support model and autonomy progression.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Commercial productisation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Tenant packaging, configuration catalogue, licences, pricing meter and reusable evidence.</w:t>
            </w:r>
          </w:p>
        </w:tc>
      </w:tr>
    </w:tbl>
    <w:p>
      <w:pPr>
        <w:pStyle w:val="Heading1"/>
      </w:pPr>
      <w:r>
        <w:t>2. Indicative phased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Phase</w:t>
            </w:r>
          </w:p>
        </w:tc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Indicative duration</w:t>
            </w:r>
          </w:p>
        </w:tc>
        <w:tc>
          <w:tcPr>
            <w:tcW w:type="dxa" w:w="3408"/>
            <w:shd w:fill="0D3749"/>
            <w:vAlign w:val="center"/>
          </w:tcPr>
          <w:p>
            <w:r>
              <w:rPr>
                <w:color w:val="FFFFFF"/>
              </w:rPr>
              <w:t>Exit criteria</w:t>
            </w:r>
          </w:p>
        </w:tc>
      </w:tr>
      <w:tr>
        <w:tc>
          <w:tcPr>
            <w:tcW w:type="dxa" w:w="3408"/>
            <w:vAlign w:val="center"/>
          </w:tcPr>
          <w:p>
            <w:r>
              <w:t>0 Discovery &amp; assurance</w:t>
            </w:r>
          </w:p>
        </w:tc>
        <w:tc>
          <w:tcPr>
            <w:tcW w:type="dxa" w:w="3408"/>
            <w:vAlign w:val="center"/>
          </w:tcPr>
          <w:p>
            <w:r>
              <w:t>4–6 weeks</w:t>
            </w:r>
          </w:p>
        </w:tc>
        <w:tc>
          <w:tcPr>
            <w:tcW w:type="dxa" w:w="3408"/>
            <w:vAlign w:val="center"/>
          </w:tcPr>
          <w:p>
            <w:r>
              <w:t>Market/site scope, data access, DPIA draft, hazards, KPIs and architecture agreed.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1 Data/twin foundation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8–12 weeks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Historical/live ingestion, asset model, data quality and replay operational.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2 Forecast/simulation/optimisation</w:t>
            </w:r>
          </w:p>
        </w:tc>
        <w:tc>
          <w:tcPr>
            <w:tcW w:type="dxa" w:w="3408"/>
            <w:vAlign w:val="center"/>
          </w:tcPr>
          <w:p>
            <w:r>
              <w:t>10–14 weeks</w:t>
            </w:r>
          </w:p>
        </w:tc>
        <w:tc>
          <w:tcPr>
            <w:tcW w:type="dxa" w:w="3408"/>
            <w:vAlign w:val="center"/>
          </w:tcPr>
          <w:p>
            <w:r>
              <w:t>Back-tested models and feasible plans across named scenarios.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3 Observe &amp; recommend pilot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6–8 weeks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Shadow operation meets latency, quality and value thresholds.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4 Approval-controlled production</w:t>
            </w:r>
          </w:p>
        </w:tc>
        <w:tc>
          <w:tcPr>
            <w:tcW w:type="dxa" w:w="3408"/>
            <w:vAlign w:val="center"/>
          </w:tcPr>
          <w:p>
            <w:r>
              <w:t>8–12 weeks</w:t>
            </w:r>
          </w:p>
        </w:tc>
        <w:tc>
          <w:tcPr>
            <w:tcW w:type="dxa" w:w="3408"/>
            <w:vAlign w:val="center"/>
          </w:tcPr>
          <w:p>
            <w:r>
              <w:t>HIL/FAT/SAT complete; approved actions executed safely.</w:t>
            </w:r>
          </w:p>
        </w:tc>
      </w:tr>
      <w:tr>
        <w:tc>
          <w:tcPr>
            <w:tcW w:type="dxa" w:w="3408"/>
            <w:vAlign w:val="center"/>
            <w:shd w:fill="EAF3F4"/>
          </w:tcPr>
          <w:p>
            <w:r>
              <w:t>5 Bounded autonomy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Client risk-led</w:t>
            </w:r>
          </w:p>
        </w:tc>
        <w:tc>
          <w:tcPr>
            <w:tcW w:type="dxa" w:w="3408"/>
            <w:vAlign w:val="center"/>
            <w:shd w:fill="EAF3F4"/>
          </w:tcPr>
          <w:p>
            <w:r>
              <w:t>Specific action classes enabled after evidence and governance approval.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6 Scale/productise</w:t>
            </w:r>
          </w:p>
        </w:tc>
        <w:tc>
          <w:tcPr>
            <w:tcW w:type="dxa" w:w="3408"/>
            <w:vAlign w:val="center"/>
          </w:tcPr>
          <w:p>
            <w:r>
              <w:t>Ongoing</w:t>
            </w:r>
          </w:p>
        </w:tc>
        <w:tc>
          <w:tcPr>
            <w:tcW w:type="dxa" w:w="3408"/>
            <w:vAlign w:val="center"/>
          </w:tcPr>
          <w:p>
            <w:r>
              <w:t>2× scale, automated onboarding, portability and service operations.</w:t>
            </w:r>
          </w:p>
        </w:tc>
      </w:tr>
    </w:tbl>
    <w:p>
      <w:pPr>
        <w:pStyle w:val="Heading1"/>
      </w:pPr>
      <w:r>
        <w:t>3.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Gate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G1 Data readiness</w:t>
            </w:r>
          </w:p>
        </w:tc>
        <w:tc>
          <w:tcPr>
            <w:tcW w:type="dxa" w:w="5112"/>
            <w:vAlign w:val="center"/>
          </w:tcPr>
          <w:p>
            <w:r>
              <w:t>Coverage, quality, units, clocks, lineage and PII controls.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G2 Model readiness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Baseline comparison, uncertainty calibration, drift and fallback.</w:t>
            </w:r>
          </w:p>
        </w:tc>
      </w:tr>
      <w:tr>
        <w:tc>
          <w:tcPr>
            <w:tcW w:type="dxa" w:w="5112"/>
            <w:vAlign w:val="center"/>
          </w:tcPr>
          <w:p>
            <w:r>
              <w:t>G3 Optimisation readiness</w:t>
            </w:r>
          </w:p>
        </w:tc>
        <w:tc>
          <w:tcPr>
            <w:tcW w:type="dxa" w:w="5112"/>
            <w:vAlign w:val="center"/>
          </w:tcPr>
          <w:p>
            <w:r>
              <w:t>Feasibility, objective traceability, scenario performance and independent validation.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G4 Security/privacy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Pen test, threat model, DPIA, access review, SBOM and incident exercises.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G5 OT safety</w:t>
            </w:r>
          </w:p>
        </w:tc>
        <w:tc>
          <w:tcPr>
            <w:tcW w:type="dxa" w:w="5112"/>
            <w:vAlign w:val="center"/>
          </w:tcPr>
          <w:p>
            <w:r>
              <w:t>Hazard analysis, command envelope, HIL/FAT/SAT, emergency stop and local fallback.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G6 Operational readiness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SLOs, monitoring, runbooks, training, on-call and DR restore.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G7 Autonomy approval</w:t>
            </w:r>
          </w:p>
        </w:tc>
        <w:tc>
          <w:tcPr>
            <w:tcW w:type="dxa" w:w="5112"/>
            <w:vAlign w:val="center"/>
          </w:tcPr>
          <w:p>
            <w:r>
              <w:t>Action-specific safety case, demonstrated shadow performance and named accountable owner.</w:t>
            </w:r>
          </w:p>
        </w:tc>
      </w:tr>
    </w:tbl>
    <w:p>
      <w:pPr>
        <w:pStyle w:val="Heading1"/>
      </w:pPr>
      <w:r>
        <w:t>4. Demonstration script</w:t>
      </w:r>
    </w:p>
    <w:p>
      <w:pPr>
        <w:pStyle w:val="ListNumber"/>
      </w:pPr>
      <w:r>
        <w:t>Start with normal solar/wind/demand; show live portfolio and 24-hour plan.</w:t>
      </w:r>
    </w:p>
    <w:p>
      <w:pPr>
        <w:pStyle w:val="ListNumber"/>
      </w:pPr>
      <w:r>
        <w:t>Apply cloud cover; show solar forecast reduction, battery response and plan explanation.</w:t>
      </w:r>
    </w:p>
    <w:p>
      <w:pPr>
        <w:pStyle w:val="ListNumber"/>
      </w:pPr>
      <w:r>
        <w:t>Apply wind surge and price spike; show charge/sell trade-off and market-period mapping.</w:t>
      </w:r>
    </w:p>
    <w:p>
      <w:pPr>
        <w:pStyle w:val="ListNumber"/>
      </w:pPr>
      <w:r>
        <w:t>Make one battery unavailable; demonstrate constraint update and re-optimisation.</w:t>
      </w:r>
    </w:p>
    <w:p>
      <w:pPr>
        <w:pStyle w:val="ListNumber"/>
      </w:pPr>
      <w:r>
        <w:t>Constrain a transmission line; show curtailed/shifted actions and reliability priority.</w:t>
      </w:r>
    </w:p>
    <w:p>
      <w:pPr>
        <w:pStyle w:val="ListNumber"/>
      </w:pPr>
      <w:r>
        <w:t>Increase industrial demand unexpectedly; show demand response and reserve use.</w:t>
      </w:r>
    </w:p>
    <w:p>
      <w:pPr>
        <w:pStyle w:val="ListNumber"/>
      </w:pPr>
      <w:r>
        <w:t>Switch modes from Observe to Recommend to Approval; approve one action and reject another.</w:t>
      </w:r>
    </w:p>
    <w:p>
      <w:pPr>
        <w:pStyle w:val="ListNumber"/>
      </w:pPr>
      <w:r>
        <w:t>Enable a narrow autonomous policy; execute a low-risk action through prepare/commit/acknowledge.</w:t>
      </w:r>
    </w:p>
    <w:p>
      <w:pPr>
        <w:pStyle w:val="ListNumber"/>
      </w:pPr>
      <w:r>
        <w:t>Inject stale telemetry and a malicious document instruction; demonstrate autonomy downgrade and guardrail alert.</w:t>
      </w:r>
    </w:p>
    <w:p>
      <w:pPr>
        <w:pStyle w:val="ListNumber"/>
      </w:pPr>
      <w:r>
        <w:t>Export the complete decision evidence and KPI impact.</w:t>
      </w:r>
    </w:p>
    <w:p>
      <w:pPr>
        <w:pStyle w:val="Heading1"/>
      </w:pPr>
      <w:r>
        <w:t>5. Commercial packaging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Edition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Positioning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Insight</w:t>
            </w:r>
          </w:p>
        </w:tc>
        <w:tc>
          <w:tcPr>
            <w:tcW w:type="dxa" w:w="5112"/>
            <w:vAlign w:val="center"/>
          </w:tcPr>
          <w:p>
            <w:r>
              <w:t>Ingestion, digital twin, forecasts, dashboards and Observe mode.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Optimise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Scenario lab, optimisation, recommendations and value analytics.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Control</w:t>
            </w:r>
          </w:p>
        </w:tc>
        <w:tc>
          <w:tcPr>
            <w:tcW w:type="dxa" w:w="5112"/>
            <w:vAlign w:val="center"/>
          </w:tcPr>
          <w:p>
            <w:r>
              <w:t>Approval-controlled OT execution, safety gateway and 24×7 operations.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Autonomous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Policy-bounded autonomy for certified action classes with enhanced assurance.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Accelerator</w:t>
            </w:r>
          </w:p>
        </w:tc>
        <w:tc>
          <w:tcPr>
            <w:tcW w:type="dxa" w:w="5112"/>
            <w:vAlign w:val="center"/>
          </w:tcPr>
          <w:p>
            <w:r>
              <w:t>Single-client isolated deployment using the same product core and IaC.</w:t>
            </w:r>
          </w:p>
        </w:tc>
      </w:tr>
    </w:tbl>
    <w:p>
      <w:pPr>
        <w:pStyle w:val="Heading1"/>
      </w:pPr>
      <w:r>
        <w:t>6. Client prerequisites</w:t>
      </w:r>
    </w:p>
    <w:p>
      <w:pPr>
        <w:pStyle w:val="ListBullet"/>
      </w:pPr>
      <w:r>
        <w:t>Named executive, operational, OT safety, cybersecurity, DPO and market owners.</w:t>
      </w:r>
    </w:p>
    <w:p>
      <w:pPr>
        <w:pStyle w:val="ListBullet"/>
      </w:pPr>
      <w:r>
        <w:t>Approved access to telemetry, asset limits, topology, forecasts, market/contract data and historical outcomes.</w:t>
      </w:r>
    </w:p>
    <w:p>
      <w:pPr>
        <w:pStyle w:val="ListBullet"/>
      </w:pPr>
      <w:r>
        <w:t>SCADA/EMS vendor engagement and test environment/simulator.</w:t>
      </w:r>
    </w:p>
    <w:p>
      <w:pPr>
        <w:pStyle w:val="ListBullet"/>
      </w:pPr>
      <w:r>
        <w:t>Country-specific legal, grid-code, market and AI classification review.</w:t>
      </w:r>
    </w:p>
    <w:p>
      <w:pPr>
        <w:pStyle w:val="ListBullet"/>
      </w:pPr>
      <w:r>
        <w:t>Baseline operating procedure and KPI calculation agreement.</w:t>
      </w:r>
    </w:p>
    <w:p>
      <w:pPr>
        <w:pStyle w:val="ListBullet"/>
      </w:pPr>
      <w:r>
        <w:t>Change-management commitment: operators participate in design, drills and autonomy gates.</w:t>
      </w:r>
    </w:p>
    <w:p>
      <w:pPr>
        <w:pStyle w:val="Heading1"/>
      </w:pPr>
      <w:r>
        <w:t>7. Principal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Risk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Poor/stale data</w:t>
            </w:r>
          </w:p>
        </w:tc>
        <w:tc>
          <w:tcPr>
            <w:tcW w:type="dxa" w:w="5112"/>
            <w:vAlign w:val="center"/>
          </w:tcPr>
          <w:p>
            <w:r>
              <w:t>Quality contracts, state confidence, fallback and autonomy downgrade.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Forecast error/tail event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Probabilistic scenarios, CVaR, reserves, event re-plan and operator escalation.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Unsafe optimisation defect</w:t>
            </w:r>
          </w:p>
        </w:tc>
        <w:tc>
          <w:tcPr>
            <w:tcW w:type="dxa" w:w="5112"/>
            <w:vAlign w:val="center"/>
          </w:tcPr>
          <w:p>
            <w:r>
              <w:t>Independent validator, property tests, HIL and action envelope.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Agent hallucination/injection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Typed tools, evidence grounding, no direct control and adversarial evaluation.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OT connectivity failure</w:t>
            </w:r>
          </w:p>
        </w:tc>
        <w:tc>
          <w:tcPr>
            <w:tcW w:type="dxa" w:w="5112"/>
            <w:vAlign w:val="center"/>
          </w:tcPr>
          <w:p>
            <w:r>
              <w:t>Edge buffering, local safe policy and SCADA authority.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Market-rule mismatch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Country configuration pack and legal/market acceptance gate.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Cross-tenant leakage</w:t>
            </w:r>
          </w:p>
        </w:tc>
        <w:tc>
          <w:tcPr>
            <w:tcW w:type="dxa" w:w="5112"/>
            <w:vAlign w:val="center"/>
          </w:tcPr>
          <w:p>
            <w:r>
              <w:t>Tenant-scoped identity, storage, retrieval and automated isolation tests.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Operator distrust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Transparent explanations, replay, shadow mode and progressive autonomy.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Regulatory change</w:t>
            </w:r>
          </w:p>
        </w:tc>
        <w:tc>
          <w:tcPr>
            <w:tcW w:type="dxa" w:w="5112"/>
            <w:vAlign w:val="center"/>
          </w:tcPr>
          <w:p>
            <w:r>
              <w:t>Policy/version service and maintained compliance roadmap.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Vendor lock-in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Open interfaces, containers, infrastructure-as-code and solver/model adapters.</w:t>
            </w:r>
          </w:p>
        </w:tc>
      </w:tr>
    </w:tbl>
    <w:p>
      <w:pPr>
        <w:pStyle w:val="Heading1"/>
      </w:pPr>
      <w:r>
        <w:t>Reference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Source</w:t>
            </w:r>
          </w:p>
        </w:tc>
        <w:tc>
          <w:tcPr>
            <w:tcW w:type="dxa" w:w="5112"/>
            <w:shd w:fill="0D3749"/>
            <w:vAlign w:val="center"/>
          </w:tcPr>
          <w:p>
            <w:r>
              <w:rPr>
                <w:color w:val="FFFFFF"/>
              </w:rPr>
              <w:t>Use in 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EU Electricity Regulation (EU) 2019/943</w:t>
            </w:r>
          </w:p>
        </w:tc>
        <w:tc>
          <w:tcPr>
            <w:tcW w:type="dxa" w:w="5112"/>
            <w:vAlign w:val="center"/>
          </w:tcPr>
          <w:p>
            <w:r>
              <w:t>Reference imbalance settlement period is 15 minutes, subject to applicable exemptions.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Commission Regulation (EU) 2017/2195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Electricity balancing and imbalance-settlement framework.</w:t>
            </w:r>
          </w:p>
        </w:tc>
      </w:tr>
      <w:tr>
        <w:tc>
          <w:tcPr>
            <w:tcW w:type="dxa" w:w="5112"/>
            <w:vAlign w:val="center"/>
          </w:tcPr>
          <w:p>
            <w:r>
              <w:t>GDPR Regulation (EU) 2016/679</w:t>
            </w:r>
          </w:p>
        </w:tc>
        <w:tc>
          <w:tcPr>
            <w:tcW w:type="dxa" w:w="5112"/>
            <w:vAlign w:val="center"/>
          </w:tcPr>
          <w:p>
            <w:r>
              <w:t>Data protection by design/default, data minimisation and DPIA obligations.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NIS2 Directive (EU) 2022/2555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Cybersecurity risk management applicable to relevant energy entities.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EU AI Act / European Commission guidance</w:t>
            </w:r>
          </w:p>
        </w:tc>
        <w:tc>
          <w:tcPr>
            <w:tcW w:type="dxa" w:w="5112"/>
            <w:vAlign w:val="center"/>
          </w:tcPr>
          <w:p>
            <w:r>
              <w:t>Potential high-risk treatment where AI is a safety component in critical infrastructure; classification must be assessed for the deployed use case.</w:t>
            </w:r>
          </w:p>
        </w:tc>
      </w:tr>
      <w:tr>
        <w:tc>
          <w:tcPr>
            <w:tcW w:type="dxa" w:w="5112"/>
            <w:vAlign w:val="center"/>
            <w:shd w:fill="EAF3F4"/>
          </w:tcPr>
          <w:p>
            <w:r>
              <w:t>IEC 62443 series</w:t>
            </w:r>
          </w:p>
        </w:tc>
        <w:tc>
          <w:tcPr>
            <w:tcW w:type="dxa" w:w="5112"/>
            <w:vAlign w:val="center"/>
            <w:shd w:fill="EAF3F4"/>
          </w:tcPr>
          <w:p>
            <w:r>
              <w:t>Industrial automation and control-system cybersecurity principles.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AWS IoT SiteWise and AWS IoT Greengrass official documentation</w:t>
            </w:r>
          </w:p>
        </w:tc>
        <w:tc>
          <w:tcPr>
            <w:tcW w:type="dxa" w:w="5112"/>
            <w:vAlign w:val="center"/>
          </w:tcPr>
          <w:p>
            <w:r>
              <w:t>AWS-specific industrial-edge and OPC UA implementation reference.</w:t>
            </w:r>
          </w:p>
        </w:tc>
      </w:tr>
    </w:tbl>
    <w:p>
      <w:r>
        <w:br w:type="page"/>
      </w:r>
    </w:p>
    <w:p>
      <w:pPr>
        <w:pStyle w:val="Heading1"/>
      </w:pPr>
      <w:r>
        <w:t>8. Platform delivery, validation and commercialisation additions</w:t>
      </w:r>
    </w:p>
    <w:p>
      <w:r>
        <w:t>Add a Platform Foundation workstream covering tenant control plane, Decision Centre, Approval Inbox, Connector Studio, Export Service, credential broker, subscription/entitlement hooks and platform operations. Delivery shall preserve the option of a shared multi-tenant SaaS deployment or a dedicated single-tenant accelerator deployment.</w:t>
      </w:r>
    </w:p>
    <w:p>
      <w:r>
        <w:t>The pilot demonstration shall include: a market price spike causing an energy procurement/sale decision; a renewable forecast change causing source rebalancing; a BESS availability event; an approval-gated SCADA/BESS signal; human connector configuration and test; approval and execution; external acknowledgement; live dashboard lineage; and Excel export of decisions, reasoning, approvals and signals.</w:t>
      </w:r>
    </w:p>
    <w:p>
      <w:r>
        <w:t>Production go-live requires penetration testing of connector configuration and outbound request controls, OT safety and fail-safe tests, approval concurrency and stale-decision tests, tenant-isolation tests, export leakage/formula-injection tests, credential-rotation tests, API contract tests, disaster recovery exercise and operator training.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511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Evidence required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Platform readiness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Tenant provisioning, role separation, configuration versioning, health monitoring and support runbooks.</w:t>
            </w:r>
          </w:p>
        </w:tc>
      </w:tr>
      <w:tr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Decision transparency</w:t>
            </w:r>
          </w:p>
        </w:tc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100% of material decisions and signal lifecycle states visible and traceable in dashboard.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Connector security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Endpoint validation, egress restriction, vault integration, dry run, maker-checker activation and emergency disable proven.</w:t>
            </w:r>
          </w:p>
        </w:tc>
      </w:tr>
      <w:tr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Human governance</w:t>
            </w:r>
          </w:p>
        </w:tc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Approve/reject/modify/expire/re-plan workflows tested including stale and conflicting approvals.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OT execution safety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Final deterministic checks, interlocks, idempotency, acknowledgement, timeout and rollback tested with simulator and site interface.</w:t>
            </w:r>
          </w:p>
        </w:tc>
      </w:tr>
      <w:tr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Excel export</w:t>
            </w:r>
          </w:p>
        </w:tc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Required sheets/fields, filters, redaction, formula-injection protection, checksum, expiry and download audit verified.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Multi-tenancy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Cross-tenant access tests pass for API, dashboard, events, storage, exports, logs and support access.</w:t>
            </w:r>
          </w:p>
        </w:tc>
      </w:tr>
      <w:tr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Commercial packaging</w:t>
            </w:r>
          </w:p>
        </w:tc>
        <w:tc>
          <w:tcPr>
            <w:tcW w:type="dxa" w:w="5112"/>
            <w:vAlign w:val="top"/>
            <w:shd w:fill="DCE6F1"/>
          </w:tcPr>
          <w:p>
            <w:r>
              <w:rPr>
                <w:sz w:val="17"/>
              </w:rPr>
              <w:t>Shared-platform and dedicated-deployment SKUs, service boundaries, SLA, implementation package and licensing assumptions documented.</w:t>
            </w:r>
          </w:p>
        </w:tc>
      </w:tr>
    </w:tbl>
    <w:p/>
    <w:p>
      <w:r>
        <w:rPr>
          <w:b/>
        </w:rPr>
        <w:t xml:space="preserve">Version 1.1 update scope: </w:t>
      </w:r>
      <w:r>
        <w:t>Platform product positioning; complete decision/signal dashboard lineage; governed Excel export; human-configurable API integration and authentication; approval-gated execution; and strengthened multi-tenant, OT and connector security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6E"/>
        <w:sz w:val="16"/>
      </w:rPr>
      <w:t xml:space="preserve">Confidential client proposal  •  v1.0  •  23 September 2026  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96E"/>
        <w:sz w:val="16"/>
      </w:rPr>
      <w:t>Renewable Energy Orchestrator (REO)  |  Implementation, Validation and Commercialisation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37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D37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3E606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