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3291FF"/>
          <w:sz w:val="80"/>
        </w:rPr>
        <w:t>EPIGROTIVE</w:t>
      </w:r>
    </w:p>
    <w:p>
      <w:pPr>
        <w:jc w:val="center"/>
      </w:pPr>
      <w:r>
        <w:rPr>
          <w:b/>
          <w:color w:val="0C1C34"/>
          <w:sz w:val="52"/>
        </w:rPr>
        <w:t>HOMEPAGE STRUCTURE BLUEPRINT</w:t>
      </w:r>
    </w:p>
    <w:p>
      <w:pPr>
        <w:jc w:val="center"/>
      </w:pPr>
      <w:r>
        <w:rPr>
          <w:color w:val="647087"/>
          <w:sz w:val="22"/>
        </w:rPr>
        <w:t>Professional information architecture • wireframes • content direction • developer handoff</w:t>
      </w:r>
    </w:p>
    <w:p>
      <w:pPr>
        <w:spacing w:after="100"/>
      </w:pPr>
      <w:r>
        <w:t>Reference direction: NODWIN's company/IP-led positioning and Upthrust's service, IP, workflow, team and contact architecture. The goal is to take those strategic cues without copying their visual identity.</w:t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1. Executive Direction</w:t>
      </w:r>
    </w:p>
    <w:p>
      <w:pPr>
        <w:spacing w:after="100"/>
      </w:pPr>
      <w:r>
        <w:t>The current Epigrotive interface already has a strong visual language. The next version should feel less like a landing-page template and more like a serious gaming, esports and youth-culture company.</w:t>
      </w:r>
    </w:p>
    <w:p>
      <w:pPr>
        <w:pStyle w:val="ListBullet"/>
        <w:spacing w:after="40"/>
      </w:pPr>
      <w:r>
        <w:t>Sharper corporate positioning</w:t>
      </w:r>
    </w:p>
    <w:p>
      <w:pPr>
        <w:pStyle w:val="ListBullet"/>
        <w:spacing w:after="40"/>
      </w:pPr>
      <w:r>
        <w:t>Clear separation between Epigro Media and Epigrotive Gaming</w:t>
      </w:r>
    </w:p>
    <w:p>
      <w:pPr>
        <w:pStyle w:val="ListBullet"/>
        <w:spacing w:after="40"/>
      </w:pPr>
      <w:r>
        <w:t>Case-study and IP-led storytelling</w:t>
      </w:r>
    </w:p>
    <w:p>
      <w:pPr>
        <w:pStyle w:val="ListBullet"/>
        <w:spacing w:after="40"/>
      </w:pPr>
      <w:r>
        <w:t>Real proof and partner credibility</w:t>
      </w:r>
    </w:p>
    <w:p>
      <w:pPr>
        <w:pStyle w:val="ListBullet"/>
        <w:spacing w:after="40"/>
      </w:pPr>
      <w:r>
        <w:t>Shorter path from visitor → relevant service → enquiry</w:t>
      </w:r>
    </w:p>
    <w:p>
      <w:pPr>
        <w:spacing w:before="200" w:after="100"/>
      </w:pPr>
      <w:r>
        <w:rPr>
          <w:b/>
          <w:color w:val="0C1C34"/>
          <w:sz w:val="30"/>
        </w:rPr>
        <w:t>2. Recommended Homepage Flow</w:t>
      </w:r>
    </w:p>
    <w:p>
      <w:pPr>
        <w:spacing w:after="100"/>
      </w:pPr>
      <w:r>
        <w:t>Hero → Trust → One House / Two Engines → Services → Why Us → Work / IPs → Epigrotive Gaming → Who We Work With → Process → Testimonials → Final CTA.</w:t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01 — HERO / FIRST IMPRESSION</w:t>
      </w:r>
    </w:p>
    <w:p>
      <w:pPr>
        <w:spacing w:after="100"/>
      </w:pPr>
      <w:r>
        <w:t>The hero should establish the company, not merely the aesthetic. The two business journeys must be visible immediately.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02 — ONE HOUSE. TWO ENGINES</w:t>
      </w:r>
    </w:p>
    <w:p>
      <w:pPr>
        <w:spacing w:after="100"/>
      </w:pPr>
      <w:r>
        <w:t>Make the Epigro Media + Epigrotive Gaming relationship a core brand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03 — SERVICES</w:t>
      </w:r>
    </w:p>
    <w:p>
      <w:pPr>
        <w:spacing w:after="100"/>
      </w:pPr>
      <w:r>
        <w:t>Replace the long list with four capability pillars that can be expanded into detail pages.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04 — WORK + IPs</w:t>
      </w:r>
    </w:p>
    <w:p>
      <w:pPr>
        <w:spacing w:after="100"/>
      </w:pPr>
      <w:r>
        <w:t>Treat work as a case-study and IP library. Add objective, delivery and verified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05 — EPIGROTIVE GAMING</w:t>
      </w:r>
    </w:p>
    <w:p>
      <w:pPr>
        <w:spacing w:after="100"/>
      </w:pPr>
      <w:r>
        <w:t>Create a distinct gaming chapter with pink as an accent, while retaining the master brand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06 — PROOF</w:t>
      </w:r>
    </w:p>
    <w:p>
      <w:pPr>
        <w:spacing w:after="100"/>
      </w:pPr>
      <w:r>
        <w:t>Bring partner logos, metrics and testimonials together into one credible proof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07 — PROCESS + CTA</w:t>
      </w:r>
    </w:p>
    <w:p>
      <w:pPr>
        <w:spacing w:after="100"/>
      </w:pPr>
      <w:r>
        <w:t>Show a simple Discover → Build → Launch process and end with a strong Start a Project CTA.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08 — FULL HOMEPAGE ARCHITECTURE</w:t>
      </w:r>
    </w:p>
    <w:p>
      <w:pPr>
        <w:spacing w:after="100"/>
      </w:pPr>
      <w:r>
        <w:t>This is the final recommended information architecture for development.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/>
      </w:pPr>
      <w:r>
        <w:rPr>
          <w:b/>
          <w:color w:val="0C1C34"/>
          <w:sz w:val="44"/>
        </w:rPr>
        <w:t>9. Content Architecture</w:t>
      </w:r>
    </w:p>
    <w:p>
      <w:pPr>
        <w:pStyle w:val="ListBullet"/>
        <w:spacing w:after="40"/>
      </w:pPr>
      <w:r>
        <w:t>Hero: one sentence describing the business + two clear routes + one primary CTA.</w:t>
      </w:r>
    </w:p>
    <w:p>
      <w:pPr>
        <w:pStyle w:val="ListBullet"/>
        <w:spacing w:after="40"/>
      </w:pPr>
      <w:r>
        <w:t>Services: Strategy &amp; Brand / Content &amp; Creative / Creators &amp; Community / Esports &amp; Events.</w:t>
      </w:r>
    </w:p>
    <w:p>
      <w:pPr>
        <w:pStyle w:val="ListBullet"/>
        <w:spacing w:after="40"/>
      </w:pPr>
      <w:r>
        <w:t>Portfolio: Client → Objective → Execution → Result → Case Study.</w:t>
      </w:r>
    </w:p>
    <w:p>
      <w:pPr>
        <w:pStyle w:val="ListBullet"/>
        <w:spacing w:after="40"/>
      </w:pPr>
      <w:r>
        <w:t>Gaming: Tournament IPs / Roster Program / Creator Showdowns / Community Qualifiers.</w:t>
      </w:r>
    </w:p>
    <w:p>
      <w:pPr>
        <w:pStyle w:val="ListBullet"/>
        <w:spacing w:after="40"/>
      </w:pPr>
      <w:r>
        <w:t>Proof: real partner logos, verified metrics and named testimonials.</w:t>
      </w:r>
    </w:p>
    <w:p>
      <w:pPr>
        <w:pStyle w:val="ListBullet"/>
        <w:spacing w:after="40"/>
      </w:pPr>
      <w:r>
        <w:t>Contact: Name, Email, Company/Team, Project Type, Timeline, optional Budget.</w:t>
      </w:r>
    </w:p>
    <w:p>
      <w:pPr>
        <w:spacing w:before="200" w:after="100"/>
      </w:pPr>
      <w:r>
        <w:rPr>
          <w:b/>
          <w:color w:val="0C1C34"/>
          <w:sz w:val="44"/>
        </w:rPr>
        <w:t>10. UX / Development Rules</w:t>
      </w:r>
    </w:p>
    <w:p>
      <w:pPr>
        <w:pStyle w:val="ListBullet"/>
        <w:spacing w:after="40"/>
      </w:pPr>
      <w:r>
        <w:t>Persistent Start a Project CTA on desktop; accessible CTA in mobile navigation.</w:t>
      </w:r>
    </w:p>
    <w:p>
      <w:pPr>
        <w:pStyle w:val="ListBullet"/>
        <w:spacing w:after="40"/>
      </w:pPr>
      <w:r>
        <w:t>Mobile-first spacing and typography; avoid excessively tall empty sections.</w:t>
      </w:r>
    </w:p>
    <w:p>
      <w:pPr>
        <w:pStyle w:val="ListBullet"/>
        <w:spacing w:after="40"/>
      </w:pPr>
      <w:r>
        <w:t>Lazy-load portfolio media and compress all images.</w:t>
      </w:r>
    </w:p>
    <w:p>
      <w:pPr>
        <w:pStyle w:val="ListBullet"/>
        <w:spacing w:after="40"/>
      </w:pPr>
      <w:r>
        <w:t>Use subtle motion only where it improves hierarchy or feedback.</w:t>
      </w:r>
    </w:p>
    <w:p>
      <w:pPr>
        <w:pStyle w:val="ListBullet"/>
        <w:spacing w:after="40"/>
      </w:pPr>
      <w:r>
        <w:t>Track CTA clicks, form starts, submissions, case-study views and Gaming CTA clicks.</w:t>
      </w:r>
    </w:p>
    <w:p>
      <w:pPr>
        <w:pStyle w:val="ListBullet"/>
        <w:spacing w:after="40"/>
      </w:pPr>
      <w:r>
        <w:t>Use real claims only; remove placeholder metrics before launch.</w:t>
      </w:r>
    </w:p>
    <w:p>
      <w:pPr>
        <w:spacing w:before="200" w:after="100"/>
      </w:pPr>
      <w:r>
        <w:rPr>
          <w:b/>
          <w:color w:val="0C1C34"/>
          <w:sz w:val="44"/>
        </w:rPr>
        <w:t>11. Final Design Target</w:t>
      </w:r>
    </w:p>
    <w:p>
      <w:pPr>
        <w:spacing w:after="100"/>
      </w:pPr>
      <w:r>
        <w:t>Think NODWIN-level company positioning and Upthrust-level operational clarity — but keep Epigrotive's own identity. The result should look capable of handling a national esports IP, a major brand campaign, a creator activation or a competitive gaming ecosystem without feeling like a generic agency website.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23C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