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t>This Master Services Agreement ("Agreement") is entered into between Northwind Logistics, Inc. ("Provider") and the Client, effective as of the date of last signature.</w:t>
      </w:r>
    </w:p>
    <w:p>
      <w:pPr>
        <w:pStyle w:val="Heading1"/>
      </w:pPr>
      <w:r>
        <w:t>1. Scope of Services</w:t>
      </w:r>
    </w:p>
    <w:p>
      <w:r>
        <w:t>Provider shall deliver freight logistics and warehousing services as described in each executed Statement of Work.</w:t>
      </w:r>
    </w:p>
    <w:p>
      <w:pPr>
        <w:pStyle w:val="Heading1"/>
      </w:pPr>
      <w:r>
        <w:t>2. Term</w:t>
      </w:r>
    </w:p>
    <w:p>
      <w:r>
        <w:t>This Agreement remains in effect for an initial term of twelve (12) months and renews automatically for successive twelve-month terms unless either party gives sixty (60) days written notice of non-renewal.</w:t>
      </w:r>
    </w:p>
    <w:p>
      <w:pPr>
        <w:pStyle w:val="Heading1"/>
      </w:pPr>
      <w:r>
        <w:t>3. Fees and Payment</w:t>
      </w:r>
    </w:p>
    <w:p>
      <w:r>
        <w:t>Client shall pay all undisputed invoices within thirty (30) days of receipt. Late payments accrue interest at 1.5% per month.</w:t>
      </w:r>
    </w:p>
    <w:p>
      <w:pPr>
        <w:pStyle w:val="Heading1"/>
      </w:pPr>
      <w:r>
        <w:t>4. Termination</w:t>
      </w:r>
    </w:p>
    <w:p>
      <w:r>
        <w:t>Either party may terminate this Agreement for material breach if the breach remains uncured thirty (30) days after written notice. Provider may suspend services immediately for non-payment exceeding sixty (60) days.</w:t>
      </w:r>
    </w:p>
    <w:p>
      <w:pPr>
        <w:pStyle w:val="Heading1"/>
      </w:pPr>
      <w:r>
        <w:t>5. Remote-Work Reimbursement (HR-2024-17 §7.3)</w:t>
      </w:r>
    </w:p>
    <w:p>
      <w:r>
        <w:t>Employees working remotely at least three (3) days per week are eligible for a home-internet stipend of $45 per month, reimbursed via the monthly expense report. Contractors are not eligible.</w:t>
      </w:r>
    </w:p>
    <w:p>
      <w:pPr>
        <w:pStyle w:val="Heading1"/>
      </w:pPr>
      <w:r>
        <w:t>6. Limitation of Liability</w:t>
      </w:r>
    </w:p>
    <w:p>
      <w:r>
        <w:t>Neither party's aggregate liability shall exceed the fees paid under this Agreement in the twelve (12) months preceding the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