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pPr>
        <w:pStyle w:val="Heading2"/>
      </w:pPr>
      <w:r>
        <w:t>Shift timings (v3.1)</w:t>
      </w:r>
    </w:p>
    <w:p>
      <w:r>
        <w:t>Morning shift 10:00–16:00, evening 16:00–24:00. 30-minute break per shift, 11 hours minimum rest between shifts. Dining room opens 12:00.</w:t>
      </w:r>
    </w:p>
    <w:p>
      <w:pPr>
        <w:pStyle w:val="Heading2"/>
      </w:pPr>
      <w:r>
        <w:t>Leave (v3.1)</w:t>
      </w:r>
    </w:p>
    <w:p>
      <w:r>
        <w:t>Two paid leave days accrued per month. Request seven days ahead except emergencies. Max two kitchen staff on leave same day.</w:t>
      </w:r>
    </w:p>
    <w:p>
      <w:pPr>
        <w:pStyle w:val="Heading2"/>
      </w:pPr>
      <w:r>
        <w:t>Code of conduct (v3.2)</w:t>
      </w:r>
    </w:p>
    <w:p>
      <w:r>
        <w:t>No phones on service floor except POS tablets. Staff meals in break room only. Zero tolerance for intoxication on duty.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