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Menu Description Guide</w:t>
      </w:r>
    </w:p>
    <w:p>
      <w:pPr>
        <w:pStyle w:val="Heading2"/>
      </w:pPr>
      <w:r>
        <w:t>Signature dishes (v1.1)</w:t>
      </w:r>
    </w:p>
    <w:p>
      <w:r>
        <w:t>Butter Chicken: overnight-marinated tandoori chicken in tomato-butter gravy. Chicken Biryani: Hyderabadi dum style. Always top-three on menus.</w:t>
      </w:r>
    </w:p>
    <w:p>
      <w:pPr>
        <w:pStyle w:val="Heading2"/>
      </w:pPr>
      <w:r>
        <w:t>Writing standards (v1.2)</w:t>
      </w:r>
    </w:p>
    <w:p>
      <w:r>
        <w:t>Two sentences max per description. Use exact category names: Starters, Main Course, Breads, Rice, Desserts, Beverages.</w:t>
      </w:r>
    </w:p>
    <w:p>
      <w:pPr>
        <w:pStyle w:val="Heading2"/>
      </w:pPr>
      <w:r>
        <w:t>Seasonal and inactive items (v1.1)</w:t>
      </w:r>
    </w:p>
    <w:p>
      <w:r>
        <w:t>Set active=0 when discontinued — never delete history. Mushroom Pepper Fry and Kulfi Falooda are inactive examples.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