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Opening Hours Policy</w:t>
      </w:r>
    </w:p>
    <w:p>
      <w:pPr>
        <w:pStyle w:val="Heading2"/>
      </w:pPr>
      <w:r>
        <w:t>Service hours (v1.0)</w:t>
      </w:r>
    </w:p>
    <w:p>
      <w:r>
        <w:t>Open daily 12:00–23:00. Last kitchen orders 22:30. Closed 1 January each year.</w:t>
      </w:r>
    </w:p>
    <w:p>
      <w:pPr>
        <w:pStyle w:val="Heading2"/>
      </w:pPr>
      <w:r>
        <w:t>Ramadan hours (v1.1)</w:t>
      </w:r>
    </w:p>
    <w:p>
      <w:r>
        <w:t>Ramadan dine-in 18:00–01:00. Limited iftar set 18:00–20:30.</w:t>
      </w:r>
    </w:p>
    <w:p>
      <w:pPr>
        <w:pStyle w:val="Heading2"/>
      </w:pPr>
      <w:r>
        <w:t>Private dining room (v1.1)</w:t>
      </w:r>
    </w:p>
    <w:p>
      <w:r>
        <w:t>Private room seats 12; minimum spend AED 1,200 weekends. AV setup 24h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