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Methods Policy</w:t>
      </w:r>
    </w:p>
    <w:p>
      <w:pPr>
        <w:pStyle w:val="Heading2"/>
      </w:pPr>
      <w:r>
        <w:t>Accepted methods (v1.0)</w:t>
      </w:r>
    </w:p>
    <w:p>
      <w:r>
        <w:t>Card, cash, UPI, wallet accepted. Card preferred above AED 200. Order counts as revenue only when payment status is paid.</w:t>
      </w:r>
    </w:p>
    <w:p>
      <w:pPr>
        <w:pStyle w:val="Heading2"/>
      </w:pPr>
      <w:r>
        <w:t>Cash handling (v1.1)</w:t>
      </w:r>
    </w:p>
    <w:p>
      <w:r>
        <w:t>Max AED 500 float at open. Safe drops every AED 1,500 with two witnesses.</w:t>
      </w:r>
    </w:p>
    <w:p>
      <w:pPr>
        <w:pStyle w:val="Heading2"/>
      </w:pPr>
      <w:r>
        <w:t>Split bills (v1.1)</w:t>
      </w:r>
    </w:p>
    <w:p>
      <w:r>
        <w:t>Maximum three split payments per table. No 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