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 Policy</w:t>
      </w:r>
    </w:p>
    <w:p>
      <w:pPr>
        <w:pStyle w:val="Heading2"/>
      </w:pPr>
      <w:r>
        <w:t>Eligibility (v2.0)</w:t>
      </w:r>
    </w:p>
    <w:p>
      <w:r>
        <w:t>Full refund when cancelled before preparation begins. After prep starts, partial refund for undelivered items only. Quality complaints at manager discretion up to affected item value.</w:t>
      </w:r>
    </w:p>
    <w:p>
      <w:pPr>
        <w:pStyle w:val="Heading2"/>
      </w:pPr>
      <w:r>
        <w:t>Method (v2.0)</w:t>
      </w:r>
    </w:p>
    <w:p>
      <w:r>
        <w:t>Refund to original payment method. Card: 3–5 business days. Cash: immediate from till with audit log. UPI/wallet within 24 hours via same terminal.</w:t>
      </w:r>
    </w:p>
    <w:p>
      <w:pPr>
        <w:pStyle w:val="Heading2"/>
      </w:pPr>
      <w:r>
        <w:t>Disputed card charges (v2.0)</w:t>
      </w:r>
    </w:p>
    <w:p>
      <w:r>
        <w:t>Never duplicate-refund if guest opened a bank dispute. Escalate to owner with order ID and payment reference. Chargeback response within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