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https://bhuvan-app1.nrsc.gov.in/agriculture/agri.php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 - Ministry of Agriculture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Department of Agricultural Research and Education focuses on research and extension in various agricultural domains, utilizing Bhuvan mapping services for Land Resource Inventory. The Department of Animal Husbandry, Dairy, and Fisheries is divided into Animal Husbandry, Dairy, and Fisheries divisions. The Department of Agriculture and Cooperation covers aspects such as crop surveys, disaster support, mobile applications, agricultural marketing, and licenses, while River Conservation and Land Use provide maps and information on water bodies, rivers, land utilization, and wastelands.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agriculture/agri.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