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https://bhuvan-app1.nrsc.gov.in/anganwadi/</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Bhuvan-Ministry of Women &amp; Child Development Anganwadi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Navigation: The Ministry of Women &amp; Child Development's website enhances accessibility and transparency in Anganwadi services through two key features. The "Field Data Viewer" serves as a robust tool, allowing stakeholders to analyze extensive field data by selecting specific parameters such as state, including Andhra Pradesh and Telangana, district, project, sector, AWCS (Anganwadi Centers), and AWWs (Anganwadi Worker Sisters). Users can also choose from various view options, including map, satellite, hybrid, terrain and in additional options we have Field Photographs/Info (FP/FI), Infrastructure (Road &amp; Rail), Rediff Maps, Survey Of India, Bhuvan, Settlement Locations, Cities/Towns (Population &gt; 1 Lakh), and Hydrological Boundary. This broadens the scope of data analysis and presentation. Additionally, the website provides a streamlined process with the "Search by Anganwadi Code" functionality, enabling users to input a unique code for swift access to detailed information about a designated Anganwadi center.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anganwa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