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https://bhuvan-app1.nrsc.gov.in/ka_forest/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Karnataka Forest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Navigation:</w:t>
      </w:r>
    </w:p>
    <w:p w:rsidR="00000000" w:rsidDel="00000000" w:rsidP="00000000" w:rsidRDefault="00000000" w:rsidRPr="00000000" w14:paraId="00000006">
      <w:pPr>
        <w:rPr/>
      </w:pPr>
      <w:r w:rsidDel="00000000" w:rsidR="00000000" w:rsidRPr="00000000">
        <w:rPr>
          <w:rtl w:val="0"/>
        </w:rPr>
        <w:t xml:space="preserve">In Bhuvan, you possess the capability to explore the forested areas in Karnataka, employing an array of filters including Circle, Division, Range, Section, Beat, and Compartment. These filters play a crucial role as invaluable tools for conducting region-specific assessments. Additionally, the analysis can be further refined by selecting parameters such as land use, land cover, wasteland, and inventory points.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Through the Bhuvan platform, users can leverage these tools to conduct thorough assessments, acquiring insights into various aspects of Karnataka's forested areas. This methodology supports informed decision-making by taking into account factors related to land use, cover, and environmental inventory points specific to the region.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Additionally, within this page, users have the option to access weather information exclusively. Furthermore, various other options such as fire management, asset management, Greening India, etc., are available to cater to diverse needs.</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ka_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