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white"/>
        </w:rPr>
      </w:pPr>
      <w:hyperlink r:id="rId6">
        <w:r w:rsidDel="00000000" w:rsidR="00000000" w:rsidRPr="00000000">
          <w:rPr>
            <w:color w:val="1155cc"/>
            <w:u w:val="single"/>
            <w:rtl w:val="0"/>
          </w:rPr>
          <w:t xml:space="preserve">https://bhuvan-app1.nrsc.gov.in/ts_forest/</w:t>
        </w:r>
      </w:hyperlink>
      <w:r w:rsidDel="00000000" w:rsidR="00000000" w:rsidRPr="00000000">
        <w:rPr>
          <w:rtl w:val="0"/>
        </w:rPr>
        <w:br w:type="textWrapping"/>
        <w:br w:type="textWrapping"/>
        <w:t xml:space="preserve">Title: </w:t>
      </w:r>
      <w:r w:rsidDel="00000000" w:rsidR="00000000" w:rsidRPr="00000000">
        <w:rPr>
          <w:b w:val="1"/>
          <w:sz w:val="24"/>
          <w:szCs w:val="24"/>
          <w:highlight w:val="white"/>
          <w:rtl w:val="0"/>
        </w:rPr>
        <w:t xml:space="preserve">Telangana Forest</w:t>
      </w:r>
    </w:p>
    <w:p w:rsidR="00000000" w:rsidDel="00000000" w:rsidP="00000000" w:rsidRDefault="00000000" w:rsidRPr="00000000" w14:paraId="00000002">
      <w:pPr>
        <w:rPr>
          <w:b w:val="1"/>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Navigation:</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In Bhuvan, you can explore the forested areas of Telangana using a variety of filters such as Circle, Division, Range, Section, Beat, and Compartment. These filters allow for precise region-specific assessments. Additionally, you have the option to select specific parameters like land use, land cover, wasteland, and inventory points to enhance the depth of your analysis.</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Utilizing filters such as Circle, Division, Range, Section, Beat, and Compartment aids in narrowing down your focus to specific regions within Telangana, facilitating a more detailed examination of the forested areas. Furthermore, the inclusion of parameters like land use, land cover, wasteland, and inventory points provides a comprehensive perspective on the environmental landscape, enabling users to gain insights into various aspects of the terrain.</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By leveraging these tools on the Bhuvan platform, users can conduct thorough assessments and make informed decisions regarding the forest areas in Telangana, taking into account diverse factors related to land use, cover, and environmental inventory points.</w:t>
      </w:r>
    </w:p>
    <w:p w:rsidR="00000000" w:rsidDel="00000000" w:rsidP="00000000" w:rsidRDefault="00000000" w:rsidRPr="00000000" w14:paraId="00000009">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ts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