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https://bhuvan-app1.nrsc.gov.in/moef_cris</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Bhuvan-Ministry of Environment,Forest and Climate Change (Centralised Resource Inventory System - CRIS)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Navigation: On the website, you have access to the Centralised Resource Inventory System (CRIS), which provides a Resource Inventory with various options for visualization on Indian maps. Here are the categories or types of resources that you can visualize on the maps: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Autonomous Body</w:t>
      </w:r>
    </w:p>
    <w:p w:rsidR="00000000" w:rsidDel="00000000" w:rsidP="00000000" w:rsidRDefault="00000000" w:rsidRPr="00000000" w14:paraId="00000008">
      <w:pPr>
        <w:rPr/>
      </w:pPr>
      <w:r w:rsidDel="00000000" w:rsidR="00000000" w:rsidRPr="00000000">
        <w:rPr>
          <w:rtl w:val="0"/>
        </w:rPr>
        <w:t xml:space="preserve">2. Centre of Excellence</w:t>
      </w:r>
    </w:p>
    <w:p w:rsidR="00000000" w:rsidDel="00000000" w:rsidP="00000000" w:rsidRDefault="00000000" w:rsidRPr="00000000" w14:paraId="00000009">
      <w:pPr>
        <w:rPr/>
      </w:pPr>
      <w:r w:rsidDel="00000000" w:rsidR="00000000" w:rsidRPr="00000000">
        <w:rPr>
          <w:rtl w:val="0"/>
        </w:rPr>
        <w:t xml:space="preserve">3. ENVIS Centre</w:t>
      </w:r>
    </w:p>
    <w:p w:rsidR="00000000" w:rsidDel="00000000" w:rsidP="00000000" w:rsidRDefault="00000000" w:rsidRPr="00000000" w14:paraId="0000000A">
      <w:pPr>
        <w:rPr/>
      </w:pPr>
      <w:r w:rsidDel="00000000" w:rsidR="00000000" w:rsidRPr="00000000">
        <w:rPr>
          <w:rtl w:val="0"/>
        </w:rPr>
        <w:t xml:space="preserve">4. Focal Point</w:t>
      </w:r>
    </w:p>
    <w:p w:rsidR="00000000" w:rsidDel="00000000" w:rsidP="00000000" w:rsidRDefault="00000000" w:rsidRPr="00000000" w14:paraId="0000000B">
      <w:pPr>
        <w:rPr/>
      </w:pPr>
      <w:r w:rsidDel="00000000" w:rsidR="00000000" w:rsidRPr="00000000">
        <w:rPr>
          <w:rtl w:val="0"/>
        </w:rPr>
        <w:t xml:space="preserve">5. Institute/Stat. Body/Regd. Society</w:t>
      </w:r>
    </w:p>
    <w:p w:rsidR="00000000" w:rsidDel="00000000" w:rsidP="00000000" w:rsidRDefault="00000000" w:rsidRPr="00000000" w14:paraId="0000000C">
      <w:pPr>
        <w:rPr/>
      </w:pPr>
      <w:r w:rsidDel="00000000" w:rsidR="00000000" w:rsidRPr="00000000">
        <w:rPr>
          <w:rtl w:val="0"/>
        </w:rPr>
        <w:t xml:space="preserve">6. Ministry</w:t>
      </w:r>
    </w:p>
    <w:p w:rsidR="00000000" w:rsidDel="00000000" w:rsidP="00000000" w:rsidRDefault="00000000" w:rsidRPr="00000000" w14:paraId="0000000D">
      <w:pPr>
        <w:rPr/>
      </w:pPr>
      <w:r w:rsidDel="00000000" w:rsidR="00000000" w:rsidRPr="00000000">
        <w:rPr>
          <w:rtl w:val="0"/>
        </w:rPr>
        <w:t xml:space="preserve">7. Public Sector Undertaking</w:t>
      </w:r>
    </w:p>
    <w:p w:rsidR="00000000" w:rsidDel="00000000" w:rsidP="00000000" w:rsidRDefault="00000000" w:rsidRPr="00000000" w14:paraId="0000000E">
      <w:pPr>
        <w:rPr/>
      </w:pPr>
      <w:r w:rsidDel="00000000" w:rsidR="00000000" w:rsidRPr="00000000">
        <w:rPr>
          <w:rtl w:val="0"/>
        </w:rPr>
        <w:t xml:space="preserve">8. Regional Office</w:t>
      </w:r>
    </w:p>
    <w:p w:rsidR="00000000" w:rsidDel="00000000" w:rsidP="00000000" w:rsidRDefault="00000000" w:rsidRPr="00000000" w14:paraId="0000000F">
      <w:pPr>
        <w:rPr/>
      </w:pPr>
      <w:r w:rsidDel="00000000" w:rsidR="00000000" w:rsidRPr="00000000">
        <w:rPr>
          <w:rtl w:val="0"/>
        </w:rPr>
        <w:t xml:space="preserve">    - Regional Centre - BSI</w:t>
      </w:r>
    </w:p>
    <w:p w:rsidR="00000000" w:rsidDel="00000000" w:rsidP="00000000" w:rsidRDefault="00000000" w:rsidRPr="00000000" w14:paraId="00000010">
      <w:pPr>
        <w:rPr/>
      </w:pPr>
      <w:r w:rsidDel="00000000" w:rsidR="00000000" w:rsidRPr="00000000">
        <w:rPr>
          <w:rtl w:val="0"/>
        </w:rPr>
        <w:t xml:space="preserve">    - Regional Centre - ZSI</w:t>
      </w:r>
    </w:p>
    <w:p w:rsidR="00000000" w:rsidDel="00000000" w:rsidP="00000000" w:rsidRDefault="00000000" w:rsidRPr="00000000" w14:paraId="00000011">
      <w:pPr>
        <w:rPr/>
      </w:pPr>
      <w:r w:rsidDel="00000000" w:rsidR="00000000" w:rsidRPr="00000000">
        <w:rPr>
          <w:rtl w:val="0"/>
        </w:rPr>
        <w:t xml:space="preserve">    - Regional Office - FSI</w:t>
      </w:r>
    </w:p>
    <w:p w:rsidR="00000000" w:rsidDel="00000000" w:rsidP="00000000" w:rsidRDefault="00000000" w:rsidRPr="00000000" w14:paraId="00000012">
      <w:pPr>
        <w:rPr/>
      </w:pPr>
      <w:r w:rsidDel="00000000" w:rsidR="00000000" w:rsidRPr="00000000">
        <w:rPr>
          <w:rtl w:val="0"/>
        </w:rPr>
        <w:t xml:space="preserve">    - Regional Office - WCCB</w:t>
      </w:r>
    </w:p>
    <w:p w:rsidR="00000000" w:rsidDel="00000000" w:rsidP="00000000" w:rsidRDefault="00000000" w:rsidRPr="00000000" w14:paraId="00000013">
      <w:pPr>
        <w:rPr/>
      </w:pPr>
      <w:r w:rsidDel="00000000" w:rsidR="00000000" w:rsidRPr="00000000">
        <w:rPr>
          <w:rtl w:val="0"/>
        </w:rPr>
        <w:t xml:space="preserve">    - Regional Centre - NAEB</w:t>
      </w:r>
    </w:p>
    <w:p w:rsidR="00000000" w:rsidDel="00000000" w:rsidP="00000000" w:rsidRDefault="00000000" w:rsidRPr="00000000" w14:paraId="00000014">
      <w:pPr>
        <w:rPr/>
      </w:pPr>
      <w:r w:rsidDel="00000000" w:rsidR="00000000" w:rsidRPr="00000000">
        <w:rPr>
          <w:rtl w:val="0"/>
        </w:rPr>
        <w:t xml:space="preserve">9. Subordinate Office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These categories likely represent different entities or organizations involved in various aspects of resource management, environmental monitoring, or related activities. The options All and Clear under Resource Inventory suggest you can view all resources or reset the visualization.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website provides users with a versatile set of view options to explore and analyze geographical and infrastructural data. Users can choose from standard map view for a traditional representation, satellite view, hybrid view and terrain view highlighting physical landscape features. Additionally, users can delve into specific aspects such as infrastructure, with a focus on roads and railways, utilize Rediff Maps for mapping services, access Survey Of India for geospatial information, and leverage Bhuvan, an initiative by ISRO offering satellite imagery and geospatial data. The disclaimer notes that the data is in version 1.0 with ongoing improvements and clarifies that NSRC/ISRO disowns responsibility for any inadvertent errors beyond its limitations. The settlement locations option further allows users to explore cities and towns with a population exceeding one lakh and hydrological boundaries, enhancing the depth and breadth of the visualized information.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moef_cr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