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https://bhuvan-app3.nrsc.gov.in/corona/</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Bhuvan-Corona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Navigation: The heading, Corona 2020, implies that the content below concerns information related to the COVID-19 pandemic in the year 2020. It likely includes data, statistics, and details about the spread of the virus, testing centers, affected districts, and possibly other relevant information.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section titled Test Centers seems to list the testing centers for COVID-19 in various states. The state can be chosen from the drop down option, and under it, there are three categories: Active, Recovered, and Deceased.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District Wise Affected List section provides a breakdown of the COVID-19 cases by district within a specific state. It offers a time series view, and the table underneath appears to show the number of cases on a particular date. NOTE: State with no color represents no spread of COVID-19 till that date.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map options (map, satellite, hybrid, terrain) are likely related to visual representations of COVID-19 data on a geographical map. Users can choose different views such as a standard map, satellite imagery, a combination of both (hybrid), or a terrain map.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disclaimer at the bottom indicates that the data presented on the website is version 1.0 and may be subject to improvements. The mention of Settlement Locations suggests that the website also includes information about the locations of settlements, related to COVID-19 cases or other relevant data.</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3.nrsc.gov.in/coro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