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https://bhuvan-app1.nrsc.gov.in/disaster/disaster.php?id=fire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Title:  Bhuvan-</w:t>
      </w:r>
      <w:r w:rsidDel="00000000" w:rsidR="00000000" w:rsidRPr="00000000">
        <w:rPr>
          <w:rtl w:val="0"/>
        </w:rPr>
        <w:t xml:space="preserve">Disaster Services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Navigation:1. Near Real-Time Forest Fire Alerts: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Provides up-to-the-minute forest fire alerts with data from Aqua-MODIS, Terra-MODIS, and S-NPP VIIRS satellites at varying resolutions (1 km, 750m, 375m).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Users can download fire locations, view or remove satellite coverage, and stay informed about the latest fire occurrences.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The alerts include specific timestamps, aiding in timely response and monitoring efforts.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Active Agricultural Fire: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Displays information on currently active agricultural fires, showcasing timestamps of the latest fire incidents from S-NPP VIIRS with 750m and 375m pixel resolution.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Enables users to track the temporal evolution of agricultural fires for effective management and intervention strategies.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Archived Forest Fire Locations: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Provides access to historical forest fire data, covering the years 2000 to 2015.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Data is organized by year, month, satellite (Aqua-MODIS or Terra-MODIS), and specific state (e.g., Andhra Pradesh).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Users can explore and analyze forest fire occurrences over this period for research or historical trend evaluation.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Fire Regimes Computation Methods: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-Users can specify the start year within the range of 2003 to 2019.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-Choose an end year between 2007 to 2021, providing flexibility in the analysis period.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-The selection of the start year is required before choosing the end year.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-Allows users to customize the analysis by selecting a specific state or opting for data from all states of India.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