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https://bhuvan-app1.nrsc.gov.in/rbi</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Bhuvan-Geo-tagging of Reserve Bank of India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Navigation:Geo-tagging of Reserve Bank of India (RBI) assets is facilitated through the Bhuvan Geoportal, a collaborative initiative between the RBI and the National Remote Sensing Center (NRSC) under ISRO. This initiative employs advanced GIS technologies and the Bhuvan platform to map and efficiently manage various banking units such as Branches, ATMs, Administrative Offices, and Electronic Kiosks across India. Utilizing an Android app, precise location data is collected to visualize the spread of assets against a high-resolution image backdrop with GIS analytical capabilities. For further information, RBI Nodal Officers or Bank Nodal Officers can log in to the dedicated portal and access the NRSC page through provided navigation links. This page serves as a valuable resource for managing and monitoring RBI assets effectively.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