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https://bhuvan-app1.nrsc.gov.in/sitemap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Bhuvan-Sitemap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Navigation:The Geospatial Governance: Dashboard serves as a comprehensive sitemap, presenting data for all Bhuvan site links in alphabetical order. This navigational tool provides an organized overview of Bhuvan's diverse offerings, including various geographical sites. Users can easily access information about each site, as the dashboard offers a brief description for quick reference. The alphabetical arrangement enhances user experience and facilitates efficient navigation through Bhuvan's geospatial resources.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sit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