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b/>
          <w:bCs/>
          <w:color w:val="0E1A2B"/>
          <w:sz w:val="64"/>
          <w:szCs w:val="64"/>
        </w:rPr>
        <w:t xml:space="preserve">SpadeBloom</w:t>
      </w:r>
    </w:p>
    <w:p>
      <w:pPr>
        <w:spacing w:after="220"/>
      </w:pPr>
      <w:r>
        <w:rPr>
          <w:b/>
          <w:bCs/>
          <w:color w:val="2563EB"/>
          <w:sz w:val="24"/>
          <w:szCs w:val="24"/>
        </w:rPr>
        <w:t xml:space="preserve">PRODUCTION CONTROL</w:t>
      </w:r>
    </w:p>
    <w:p>
      <w:pPr>
        <w:pBdr>
          <w:bottom w:val="single" w:color="2563EB" w:sz="18" w:space="4"/>
        </w:pBdr>
        <w:spacing w:after="220"/>
      </w:pPr>
      <w:r>
        <w:t xml:space="preserve"/>
      </w:r>
    </w:p>
    <w:p>
      <w:pPr>
        <w:spacing w:after="80"/>
      </w:pPr>
      <w:r>
        <w:rPr>
          <w:b/>
          <w:bCs/>
          <w:color w:val="0E1A2B"/>
          <w:sz w:val="40"/>
          <w:szCs w:val="40"/>
        </w:rPr>
        <w:t xml:space="preserve">Go-to-Market &amp; Positioning Brief</w:t>
      </w:r>
    </w:p>
    <w:p>
      <w:pPr>
        <w:spacing w:after="40"/>
      </w:pPr>
      <w:r>
        <w:rPr>
          <w:color w:val="566071"/>
          <w:sz w:val="24"/>
          <w:szCs w:val="24"/>
        </w:rPr>
        <w:t xml:space="preserve">Real-time production control, 3D/AR quality, and live labor visibility for metal-fabrication shops</w:t>
      </w:r>
    </w:p>
    <w:p>
      <w:pPr>
        <w:spacing w:before="360"/>
      </w:pPr>
      <w:r>
        <w:rPr>
          <w:color w:val="1F2937"/>
          <w:sz w:val="22"/>
          <w:szCs w:val="22"/>
        </w:rPr>
        <w:t xml:space="preserve">Prepared for: Akash Mule</w:t>
      </w:r>
    </w:p>
    <w:p>
      <w:r>
        <w:rPr>
          <w:color w:val="1F2937"/>
          <w:sz w:val="22"/>
          <w:szCs w:val="22"/>
        </w:rPr>
        <w:t xml:space="preserve">Market: Global (NA + India)   ·   Primary ICP: metal-fabrication shops</w:t>
      </w:r>
    </w:p>
    <w:p>
      <w:r>
        <w:rPr>
          <w:color w:val="566071"/>
          <w:sz w:val="22"/>
          <w:szCs w:val="22"/>
        </w:rPr>
        <w:t xml:space="preserve">Version 1.1  ·  June 2026</w:t>
      </w:r>
    </w:p>
    <w:p>
      <w:pPr>
        <w:spacing w:before="320"/>
      </w:pPr>
      <w:r>
        <w:rPr>
          <w:i/>
          <w:iCs/>
          <w:color w:val="566071"/>
          <w:sz w:val="20"/>
          <w:szCs w:val="20"/>
        </w:rPr>
        <w:t xml:space="preserve">An honest GTM foundation: it leads with what the product does well today and treats current gaps as a roadmap, so every claim survives a demo.</w:t>
      </w:r>
    </w:p>
    <w:p>
      <w:r>
        <w:br w:type="page"/>
      </w:r>
    </w:p>
    <w:p>
      <w:pPr>
        <w:pStyle w:val="Heading1"/>
      </w:pPr>
      <w:r>
        <w:t xml:space="preserve">1. Executive summary</w:t>
      </w:r>
    </w:p>
    <w:p>
      <w:pPr>
        <w:pBdr>
          <w:bottom w:val="single" w:color="2563EB" w:sz="12" w:space="1"/>
        </w:pBdr>
        <w:spacing w:after="120"/>
      </w:pPr>
      <w:r>
        <w:t xml:space="preserve"/>
      </w:r>
    </w:p>
    <w:p>
      <w:pPr>
        <w:spacing w:after="160" w:line="288"/>
      </w:pPr>
      <w:r>
        <w:rPr>
          <w:color w:val="1F2937"/>
          <w:sz w:val="24"/>
          <w:szCs w:val="24"/>
        </w:rPr>
        <w:t xml:space="preserve">SpadeBloom is a lightweight, cloud-based production-control and live labor-visibility platform for discrete manufacturers — strongest fit: metal-fabrication shops. Its core differentiator is real-time, per-operator, per-stage time tracking, surfaced live on a web dashboard and in an operator phone app, so a supervisor can answer the hardest floor question at any moment: who is doing what, on which order, against target, right now.</w:t>
      </w:r>
    </w:p>
    <w:p>
      <w:pPr>
        <w:spacing w:after="140" w:line="276"/>
      </w:pPr>
      <w:r>
        <w:rPr>
          <w:b w:val="false"/>
          <w:bCs w:val="false"/>
          <w:i w:val="false"/>
          <w:iCs w:val="false"/>
          <w:color w:val="1F2937"/>
          <w:sz w:val="22"/>
          <w:szCs w:val="22"/>
        </w:rPr>
        <w:t xml:space="preserve">A second standout — and a genuine differentiator almost no competitor offers — is 3D/AR quality. Operators view assemblies against the actual 3D model on the floor, and inspectors capture defects directly on the geometry, with measurements, tolerances and sign-offs. AR-assisted scanning of assemblies for QA is a flagship use case of the platform and an actively expanding capability. It should be front-and-centre in the story, not a footnote.</w:t>
      </w:r>
    </w:p>
    <w:p>
      <w:pPr>
        <w:spacing w:after="140" w:line="276"/>
      </w:pPr>
      <w:r>
        <w:rPr>
          <w:b w:val="false"/>
          <w:bCs w:val="false"/>
          <w:i w:val="false"/>
          <w:iCs w:val="false"/>
          <w:color w:val="1F2937"/>
          <w:sz w:val="22"/>
          <w:szCs w:val="22"/>
        </w:rPr>
        <w:t xml:space="preserve">The market opportunity is real and growing. The manufacturing execution systems (MES) market is roughly $18.6B in 2026 and projected to reach ~$56B by 2034 (~14.9% CAGR), and a majority of manufacturers are actively increasing spend on production monitoring and real-time visibility. Yet most small and mid-size shops still run the floor on paper travelers and spreadsheets — data that is hours stale by the time anyone acts on it.</w:t>
      </w:r>
    </w:p>
    <w:p>
      <w:pPr>
        <w:spacing w:after="140" w:line="276"/>
      </w:pPr>
      <w:r>
        <w:rPr>
          <w:b w:val="false"/>
          <w:bCs w:val="false"/>
          <w:i w:val="false"/>
          <w:iCs w:val="false"/>
          <w:color w:val="1F2937"/>
          <w:sz w:val="22"/>
          <w:szCs w:val="22"/>
        </w:rPr>
        <w:t xml:space="preserve">SpadeBloom’s wedge sits between four imperfect alternatives: heavy ERP/MES suites (powerful but slow and costly to deploy), machine-signal monitors (read the machine, ignore the people and the part), DIY operations platforms (you build and maintain the apps), and paper/spreadsheets (free, but blind). SpadeBloom is the fast-to-deploy, operator-first execution-and-quality layer a paper-based shop can adopt without committing to a heavyweight ERP.</w:t>
      </w:r>
    </w:p>
    <w:p>
      <w:pPr>
        <w:spacing w:after="140" w:line="276"/>
      </w:pPr>
      <w:r>
        <w:rPr>
          <w:b w:val="false"/>
          <w:bCs w:val="false"/>
          <w:i w:val="false"/>
          <w:iCs w:val="false"/>
          <w:color w:val="1F2937"/>
          <w:sz w:val="22"/>
          <w:szCs w:val="22"/>
        </w:rPr>
        <w:t xml:space="preserve">Recommendation, given the goal of building market presence and showing off the product: (1) replace the current login-screen “landing page” with a benefit-led marketing site and guided demo; (2) lead messaging with three hooks — live floor visibility, self-tracking labor, and 3D/AR quality; (3) win 1–2 reference fab shops and turn them into a case study — the single biggest presence multiplier; (4) stay disciplined about scope claims (see the honesty guardrails on the final page). The pitch deck and one-page sell sheet delivered alongside this brief are built on the positioning below.</w:t>
      </w:r>
    </w:p>
    <w:p>
      <w:pPr>
        <w:pStyle w:val="Heading1"/>
      </w:pPr>
      <w:r>
        <w:t xml:space="preserve">2. Positioning in one line</w:t>
      </w:r>
    </w:p>
    <w:p>
      <w:pPr>
        <w:pBdr>
          <w:bottom w:val="single" w:color="2563EB" w:sz="12" w:space="1"/>
        </w:pBdr>
        <w:spacing w:after="120"/>
      </w:pPr>
      <w:r>
        <w:t xml:space="preserve"/>
      </w:r>
    </w:p>
    <w:p>
      <w:pPr>
        <w:pBdr>
          <w:left w:val="single" w:color="2563EB" w:sz="18" w:space="6"/>
        </w:pBdr>
        <w:shd w:fill="EAF1FE" w:val="clear"/>
        <w:spacing w:after="160" w:before="60"/>
      </w:pPr>
      <w:r>
        <w:rPr>
          <w:color w:val="1F2937"/>
          <w:sz w:val="24"/>
          <w:szCs w:val="24"/>
        </w:rPr>
        <w:t xml:space="preserve">For metal-fabrication and make-to-order shops still tracking jobs on paper and spreadsheets, </w:t>
      </w:r>
      <w:r>
        <w:rPr>
          <w:b/>
          <w:bCs/>
          <w:color w:val="0E1A2B"/>
          <w:sz w:val="24"/>
          <w:szCs w:val="24"/>
        </w:rPr>
        <w:t xml:space="preserve">SpadeBloom is a cloud production-control platform that shows who is building which order and stage in real time — and lets them inspect assemblies against the 3D model, on the wall and in the operator’s hand. </w:t>
      </w:r>
      <w:r>
        <w:rPr>
          <w:color w:val="1F2937"/>
          <w:sz w:val="24"/>
          <w:szCs w:val="24"/>
        </w:rPr>
        <w:t xml:space="preserve">Unlike heavy ERPs that take quarters to roll out or machine monitors that ignore the people and the part, SpadeBloom goes live in weeks and is built around the operator, the work order, and the quality of the assembly.</w:t>
      </w:r>
    </w:p>
    <w:p>
      <w:pPr>
        <w:spacing w:after="140" w:line="276"/>
      </w:pPr>
      <w:r>
        <w:rPr>
          <w:b w:val="false"/>
          <w:bCs w:val="false"/>
          <w:i/>
          <w:iCs/>
          <w:color w:val="566071"/>
          <w:sz w:val="22"/>
          <w:szCs w:val="22"/>
        </w:rPr>
        <w:t xml:space="preserve">Category to own: “production execution, 3D/AR quality &amp; live labor visibility.” Avoid positioning as a full ERP or MRP — it sets an expectation the product does not yet meet and invites the wrong comparison.</w:t>
      </w:r>
    </w:p>
    <w:p>
      <w:pPr>
        <w:pStyle w:val="Heading1"/>
      </w:pPr>
      <w:r>
        <w:t xml:space="preserve">3. Ideal customer profile (ICP)</w:t>
      </w:r>
    </w:p>
    <w:p>
      <w:pPr>
        <w:pBdr>
          <w:bottom w:val="single" w:color="2563EB" w:sz="12" w:space="1"/>
        </w:pBdr>
        <w:spacing w:after="120"/>
      </w:pPr>
      <w:r>
        <w:t xml:space="preserve"/>
      </w:r>
    </w:p>
    <w:p>
      <w:pPr>
        <w:spacing w:after="140" w:line="276"/>
      </w:pPr>
      <w:r>
        <w:rPr>
          <w:b w:val="false"/>
          <w:bCs w:val="false"/>
          <w:i w:val="false"/>
          <w:iCs w:val="false"/>
          <w:color w:val="1F2937"/>
          <w:sz w:val="22"/>
          <w:szCs w:val="22"/>
        </w:rPr>
        <w:t xml:space="preserve">Lead with metal-fabrication shops — the product’s strongest fit (welding, CNC, press-brake, multi-stage routed assemblies where QA against a model matters). Discrete / small-batch make-to-order manufacturers are a close secondary market the same messaging reaches.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Attribute</w:t>
            </w:r>
          </w:p>
        </w:tc>
        <w:tc>
          <w:tcPr>
            <w:tcW w:type="dxa" w:w="686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Primary ICP — metal-fabrication shop</w:t>
            </w:r>
          </w:p>
        </w:tc>
      </w:tr>
      <w:tr>
        <w:tc>
          <w:tcPr>
            <w:tcW w:type="dxa" w:w="2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Segment</w:t>
            </w:r>
          </w:p>
        </w:tc>
        <w:tc>
          <w:tcPr>
            <w:tcW w:type="dxa" w:w="68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Metal fabrication &amp; sheet-metal job shops, especially weld/assembly work; secondary: discrete make-to-order manufacturers</w:t>
            </w:r>
          </w:p>
        </w:tc>
      </w:tr>
      <w:tr>
        <w:tc>
          <w:tcPr>
            <w:tcW w:type="dxa" w:w="2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Size sweet spot</w:t>
            </w:r>
          </w:p>
        </w:tc>
        <w:tc>
          <w:tcPr>
            <w:tcW w:type="dxa" w:w="68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~20–300 employees / 1–6 production lines. Big enough that paper breaks down, small enough that a full ERP is overkill.</w:t>
            </w:r>
          </w:p>
        </w:tc>
      </w:tr>
      <w:tr>
        <w:tc>
          <w:tcPr>
            <w:tcW w:type="dxa" w:w="2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Production type</w:t>
            </w:r>
          </w:p>
        </w:tc>
        <w:tc>
          <w:tcPr>
            <w:tcW w:type="dxa" w:w="68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Multi-stage routed jobs (cut → form → weld → assemble → inspect), labor-intensive, with assemblies that must be QA’d against a drawing or model</w:t>
            </w:r>
          </w:p>
        </w:tc>
      </w:tr>
      <w:tr>
        <w:tc>
          <w:tcPr>
            <w:tcW w:type="dxa" w:w="2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Economic buyer</w:t>
            </w:r>
          </w:p>
        </w:tc>
        <w:tc>
          <w:tcPr>
            <w:tcW w:type="dxa" w:w="68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Owner / GM / plant manager / operations or quality manager</w:t>
            </w:r>
          </w:p>
        </w:tc>
      </w:tr>
      <w:tr>
        <w:tc>
          <w:tcPr>
            <w:tcW w:type="dxa" w:w="2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Champion</w:t>
            </w:r>
          </w:p>
        </w:tc>
        <w:tc>
          <w:tcPr>
            <w:tcW w:type="dxa" w:w="68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Production supervisor, floor lead, or QA lead tired of walking the floor and clipboard inspections</w:t>
            </w:r>
          </w:p>
        </w:tc>
      </w:tr>
      <w:tr>
        <w:tc>
          <w:tcPr>
            <w:tcW w:type="dxa" w:w="2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Trigger events</w:t>
            </w:r>
          </w:p>
        </w:tc>
        <w:tc>
          <w:tcPr>
            <w:tcW w:type="dxa" w:w="68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Growth past ~30 concurrent jobs; a missed delivery; a quality escape or rework spike; losing a quote on bad labor estimates</w:t>
            </w:r>
          </w:p>
        </w:tc>
      </w:tr>
      <w:tr>
        <w:tc>
          <w:tcPr>
            <w:tcW w:type="dxa" w:w="2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Where they are today</w:t>
            </w:r>
          </w:p>
        </w:tc>
        <w:tc>
          <w:tcPr>
            <w:tcW w:type="dxa" w:w="68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Paper travelers, end-of-shift reports, whiteboards, spreadsheets, clipboard QA; or an ERP they don’t use on the floor</w:t>
            </w:r>
          </w:p>
        </w:tc>
      </w:tr>
      <w:tr>
        <w:tc>
          <w:tcPr>
            <w:tcW w:type="dxa" w:w="2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Disqualifiers (for now)</w:t>
            </w:r>
          </w:p>
        </w:tc>
        <w:tc>
          <w:tcPr>
            <w:tcW w:type="dxa" w:w="68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Shops that need materials/BOM, finite scheduling or true machine-OEE on day one — not yet in scope (see roadmap)</w:t>
            </w:r>
          </w:p>
        </w:tc>
      </w:tr>
    </w:tbl>
    <w:p>
      <w:r>
        <w:br w:type="page"/>
      </w:r>
    </w:p>
    <w:p>
      <w:pPr>
        <w:pStyle w:val="Heading1"/>
      </w:pPr>
      <w:r>
        <w:t xml:space="preserve">4. The problem we solve</w:t>
      </w:r>
    </w:p>
    <w:p>
      <w:pPr>
        <w:pBdr>
          <w:bottom w:val="single" w:color="2563EB" w:sz="12" w:space="1"/>
        </w:pBdr>
        <w:spacing w:after="120"/>
      </w:pPr>
      <w:r>
        <w:t xml:space="preserve"/>
      </w:r>
    </w:p>
    <w:p>
      <w:pPr>
        <w:spacing w:after="100" w:line="276"/>
      </w:pPr>
      <w:r>
        <w:rPr>
          <w:b w:val="false"/>
          <w:bCs w:val="false"/>
          <w:i w:val="false"/>
          <w:iCs w:val="false"/>
          <w:color w:val="1F2937"/>
          <w:sz w:val="22"/>
          <w:szCs w:val="22"/>
        </w:rPr>
        <w:t xml:space="preserve">Paper-based job tracking works with six jobs on the floor; at sixty it becomes a liability. The pain is consistent across fab shops:</w:t>
      </w:r>
    </w:p>
    <w:p>
      <w:pPr>
        <w:pStyle w:val="ListParagraph"/>
        <w:numPr>
          <w:ilvl w:val="0"/>
          <w:numId w:val="2"/>
        </w:numPr>
        <w:spacing w:after="70" w:line="268"/>
      </w:pPr>
      <w:r>
        <w:rPr>
          <w:b/>
          <w:bCs/>
          <w:color w:val="0E1A2B"/>
          <w:sz w:val="22"/>
          <w:szCs w:val="22"/>
        </w:rPr>
        <w:t xml:space="preserve">Stale, end-of-shift visibility </w:t>
      </w:r>
      <w:r>
        <w:rPr>
          <w:color w:val="1F2937"/>
          <w:sz w:val="22"/>
          <w:szCs w:val="22"/>
        </w:rPr>
        <w:t xml:space="preserve">— supervisors walk the floor to find job status; planners act on data that is 12+ hours old.</w:t>
      </w:r>
    </w:p>
    <w:p>
      <w:pPr>
        <w:pStyle w:val="ListParagraph"/>
        <w:numPr>
          <w:ilvl w:val="0"/>
          <w:numId w:val="2"/>
        </w:numPr>
        <w:spacing w:after="70" w:line="268"/>
      </w:pPr>
      <w:r>
        <w:rPr>
          <w:b/>
          <w:bCs/>
          <w:color w:val="0E1A2B"/>
          <w:sz w:val="22"/>
          <w:szCs w:val="22"/>
        </w:rPr>
        <w:t xml:space="preserve">Labor data that doesn’t get captured </w:t>
      </w:r>
      <w:r>
        <w:rPr>
          <w:color w:val="1F2937"/>
          <w:sz w:val="22"/>
          <w:szCs w:val="22"/>
        </w:rPr>
        <w:t xml:space="preserve">— hand-written labor times and spreadsheets are slow and error-prone, so they don’t happen consistently — and an inconsistent dashboard becomes fiction.</w:t>
      </w:r>
    </w:p>
    <w:p>
      <w:pPr>
        <w:pStyle w:val="ListParagraph"/>
        <w:numPr>
          <w:ilvl w:val="0"/>
          <w:numId w:val="2"/>
        </w:numPr>
        <w:spacing w:after="70" w:line="268"/>
      </w:pPr>
      <w:r>
        <w:rPr>
          <w:b/>
          <w:bCs/>
          <w:color w:val="0E1A2B"/>
          <w:sz w:val="22"/>
          <w:szCs w:val="22"/>
        </w:rPr>
        <w:t xml:space="preserve">Quality checks that don’t match the part </w:t>
      </w:r>
      <w:r>
        <w:rPr>
          <w:color w:val="1F2937"/>
          <w:sz w:val="22"/>
          <w:szCs w:val="22"/>
        </w:rPr>
        <w:t xml:space="preserve">— clipboard inspections and 2D drawings make it hard to verify a built assembly against intent; defects and rework are caught late and recorded inconsistently.</w:t>
      </w:r>
    </w:p>
    <w:p>
      <w:pPr>
        <w:pStyle w:val="ListParagraph"/>
        <w:numPr>
          <w:ilvl w:val="0"/>
          <w:numId w:val="2"/>
        </w:numPr>
        <w:spacing w:after="70" w:line="268"/>
      </w:pPr>
      <w:r>
        <w:rPr>
          <w:b/>
          <w:bCs/>
          <w:color w:val="0E1A2B"/>
          <w:sz w:val="22"/>
          <w:szCs w:val="22"/>
        </w:rPr>
        <w:t xml:space="preserve">Inaccurate job costing &amp; quoting </w:t>
      </w:r>
      <w:r>
        <w:rPr>
          <w:color w:val="1F2937"/>
          <w:sz w:val="22"/>
          <w:szCs w:val="22"/>
        </w:rPr>
        <w:t xml:space="preserve">— without trustworthy labor time per stage, you can’t tell what a job actually cost or quote the next one accurately.</w:t>
      </w:r>
    </w:p>
    <w:p>
      <w:pPr>
        <w:spacing w:after="140" w:line="276"/>
      </w:pPr>
      <w:r>
        <w:rPr>
          <w:b w:val="false"/>
          <w:bCs w:val="false"/>
          <w:i/>
          <w:iCs/>
          <w:color w:val="566071"/>
          <w:sz w:val="22"/>
          <w:szCs w:val="22"/>
        </w:rPr>
        <w:t xml:space="preserve">Industry context: SMB shops commonly report 40–60% OEE and spend 20–40% of scheduled time on non-productive activity. The gap is rarely a lack of information — it’s the inability to act on it fast enough.</w:t>
      </w:r>
    </w:p>
    <w:p>
      <w:pPr>
        <w:pStyle w:val="Heading2"/>
      </w:pPr>
      <w:r>
        <w:t xml:space="preserve">Why now — the market</w:t>
      </w:r>
    </w:p>
    <w:p>
      <w:pPr>
        <w:pStyle w:val="ListParagraph"/>
        <w:numPr>
          <w:ilvl w:val="0"/>
          <w:numId w:val="2"/>
        </w:numPr>
        <w:spacing w:after="70" w:line="268"/>
      </w:pPr>
      <w:r>
        <w:rPr>
          <w:b/>
          <w:bCs/>
          <w:color w:val="0E1A2B"/>
          <w:sz w:val="22"/>
          <w:szCs w:val="22"/>
        </w:rPr>
        <w:t xml:space="preserve">Growing fast: </w:t>
      </w:r>
      <w:r>
        <w:rPr>
          <w:color w:val="1F2937"/>
          <w:sz w:val="22"/>
          <w:szCs w:val="22"/>
        </w:rPr>
        <w:t xml:space="preserve">MES market ~$18.6B in 2026, projected ~$56B by 2034 (~14.9% CAGR); cloud deployment is the fastest-growing segment.</w:t>
      </w:r>
    </w:p>
    <w:p>
      <w:pPr>
        <w:pStyle w:val="ListParagraph"/>
        <w:numPr>
          <w:ilvl w:val="0"/>
          <w:numId w:val="2"/>
        </w:numPr>
        <w:spacing w:after="70" w:line="268"/>
      </w:pPr>
      <w:r>
        <w:rPr>
          <w:b/>
          <w:bCs/>
          <w:color w:val="0E1A2B"/>
          <w:sz w:val="22"/>
          <w:szCs w:val="22"/>
        </w:rPr>
        <w:t xml:space="preserve">Money is moving: </w:t>
      </w:r>
      <w:r>
        <w:rPr>
          <w:color w:val="1F2937"/>
          <w:sz w:val="22"/>
          <w:szCs w:val="22"/>
        </w:rPr>
        <w:t xml:space="preserve">~64% of manufacturers are increasing investment in production monitoring; ~52% cite improved production visibility as the goal.</w:t>
      </w:r>
    </w:p>
    <w:p>
      <w:pPr>
        <w:pStyle w:val="ListParagraph"/>
        <w:numPr>
          <w:ilvl w:val="0"/>
          <w:numId w:val="2"/>
        </w:numPr>
        <w:spacing w:after="70" w:line="268"/>
      </w:pPr>
      <w:r>
        <w:rPr>
          <w:b/>
          <w:bCs/>
          <w:color w:val="0E1A2B"/>
          <w:sz w:val="22"/>
          <w:szCs w:val="22"/>
        </w:rPr>
        <w:t xml:space="preserve">Right wedge: </w:t>
      </w:r>
      <w:r>
        <w:rPr>
          <w:color w:val="1F2937"/>
          <w:sz w:val="22"/>
          <w:szCs w:val="22"/>
        </w:rPr>
        <w:t xml:space="preserve">paper-to-real-time, plus model-based QA, is exactly the transition SpadeBloom makes easy — without a heavyweight ERP commitment.</w:t>
      </w:r>
    </w:p>
    <w:p>
      <w:pPr>
        <w:pStyle w:val="Heading1"/>
      </w:pPr>
      <w:r>
        <w:t xml:space="preserve">5. What SpadeBloom does well today</w:t>
      </w:r>
    </w:p>
    <w:p>
      <w:pPr>
        <w:pBdr>
          <w:bottom w:val="single" w:color="2563EB" w:sz="12" w:space="1"/>
        </w:pBdr>
        <w:spacing w:after="120"/>
      </w:pPr>
      <w:r>
        <w:t xml:space="preserve"/>
      </w:r>
    </w:p>
    <w:p>
      <w:pPr>
        <w:spacing w:after="100" w:line="276"/>
      </w:pPr>
      <w:r>
        <w:rPr>
          <w:b w:val="false"/>
          <w:bCs w:val="false"/>
          <w:i w:val="false"/>
          <w:iCs w:val="false"/>
          <w:color w:val="1F2937"/>
          <w:sz w:val="22"/>
          <w:szCs w:val="22"/>
        </w:rPr>
        <w:t xml:space="preserve">Marketing should lead with these verified strengths — they hold up live in a demo:</w:t>
      </w:r>
    </w:p>
    <w:p>
      <w:pPr>
        <w:pStyle w:val="ListParagraph"/>
        <w:numPr>
          <w:ilvl w:val="0"/>
          <w:numId w:val="2"/>
        </w:numPr>
        <w:spacing w:after="70" w:line="268"/>
      </w:pPr>
      <w:r>
        <w:rPr>
          <w:b/>
          <w:bCs/>
          <w:color w:val="0E1A2B"/>
          <w:sz w:val="22"/>
          <w:szCs w:val="22"/>
        </w:rPr>
        <w:t xml:space="preserve">Live floor visibility </w:t>
      </w:r>
      <w:r>
        <w:rPr>
          <w:color w:val="1F2937"/>
          <w:sz w:val="22"/>
          <w:szCs w:val="22"/>
        </w:rPr>
        <w:t xml:space="preserve">— every operator clocks into a specific stage of a specific work order; the dashboard shows operator, order, stage, elapsed time and station live, on web and on the phone.</w:t>
      </w:r>
    </w:p>
    <w:p>
      <w:pPr>
        <w:pStyle w:val="ListParagraph"/>
        <w:numPr>
          <w:ilvl w:val="0"/>
          <w:numId w:val="2"/>
        </w:numPr>
        <w:spacing w:after="70" w:line="268"/>
      </w:pPr>
      <w:r>
        <w:rPr>
          <w:b/>
          <w:bCs/>
          <w:color w:val="0E1A2B"/>
          <w:sz w:val="22"/>
          <w:szCs w:val="22"/>
        </w:rPr>
        <w:t xml:space="preserve">Real-time per-operator, per-stage time tracking </w:t>
      </w:r>
      <w:r>
        <w:rPr>
          <w:color w:val="1F2937"/>
          <w:sz w:val="22"/>
          <w:szCs w:val="22"/>
        </w:rPr>
        <w:t xml:space="preserve">— the standout execution capability; supervisors can review and correct entries; idle/break/rework are captured.</w:t>
      </w:r>
    </w:p>
    <w:p>
      <w:pPr>
        <w:pStyle w:val="ListParagraph"/>
        <w:numPr>
          <w:ilvl w:val="0"/>
          <w:numId w:val="2"/>
        </w:numPr>
        <w:spacing w:after="70" w:line="268"/>
      </w:pPr>
      <w:r>
        <w:rPr>
          <w:b/>
          <w:bCs/>
          <w:color w:val="0E1A2B"/>
          <w:sz w:val="22"/>
          <w:szCs w:val="22"/>
        </w:rPr>
        <w:t xml:space="preserve">3D/AR quality &amp; assembly inspection </w:t>
      </w:r>
      <w:r>
        <w:rPr>
          <w:color w:val="1F2937"/>
          <w:sz w:val="22"/>
          <w:szCs w:val="22"/>
        </w:rPr>
        <w:t xml:space="preserve">— inspect a built assembly against the actual 3D model, with defects pinned to the geometry (type, severity, measurements, tolerances), AR-assisted on-floor scanning, sign-offs and defect-pattern views. A flagship use case — and a differentiator competitors don’t match; deeper scan-to-model comparison is in active development.</w:t>
      </w:r>
    </w:p>
    <w:p>
      <w:pPr>
        <w:pStyle w:val="ListParagraph"/>
        <w:numPr>
          <w:ilvl w:val="0"/>
          <w:numId w:val="2"/>
        </w:numPr>
        <w:spacing w:after="70" w:line="268"/>
      </w:pPr>
      <w:r>
        <w:rPr>
          <w:b/>
          <w:bCs/>
          <w:color w:val="0E1A2B"/>
          <w:sz w:val="22"/>
          <w:szCs w:val="22"/>
        </w:rPr>
        <w:t xml:space="preserve">Operator mobile app </w:t>
      </w:r>
      <w:r>
        <w:rPr>
          <w:color w:val="1F2937"/>
          <w:sz w:val="22"/>
          <w:szCs w:val="22"/>
        </w:rPr>
        <w:t xml:space="preserve">— assigned work, clock in/out, a 3D/AR model viewer for assembly reference, and an offline queue for dead zones. A real tool, not an afterthought.</w:t>
      </w:r>
    </w:p>
    <w:p>
      <w:pPr>
        <w:pStyle w:val="ListParagraph"/>
        <w:numPr>
          <w:ilvl w:val="0"/>
          <w:numId w:val="2"/>
        </w:numPr>
        <w:spacing w:after="70" w:line="268"/>
      </w:pPr>
      <w:r>
        <w:rPr>
          <w:b/>
          <w:bCs/>
          <w:color w:val="0E1A2B"/>
          <w:sz w:val="22"/>
          <w:szCs w:val="22"/>
        </w:rPr>
        <w:t xml:space="preserve">Work-order lifecycle &amp; dispatch </w:t>
      </w:r>
      <w:r>
        <w:rPr>
          <w:color w:val="1F2937"/>
          <w:sz w:val="22"/>
          <w:szCs w:val="22"/>
        </w:rPr>
        <w:t xml:space="preserve">— draft → pending → in-progress → completed state machine, priorities, due dates, line assignment, order dependencies, batch operations, and a kanban board.</w:t>
      </w:r>
    </w:p>
    <w:p>
      <w:pPr>
        <w:pStyle w:val="ListParagraph"/>
        <w:numPr>
          <w:ilvl w:val="0"/>
          <w:numId w:val="2"/>
        </w:numPr>
        <w:spacing w:after="70" w:line="268"/>
      </w:pPr>
      <w:r>
        <w:rPr>
          <w:b/>
          <w:bCs/>
          <w:color w:val="0E1A2B"/>
          <w:sz w:val="22"/>
          <w:szCs w:val="22"/>
        </w:rPr>
        <w:t xml:space="preserve">Process &amp; routing templates </w:t>
      </w:r>
      <w:r>
        <w:rPr>
          <w:color w:val="1F2937"/>
          <w:sz w:val="22"/>
          <w:szCs w:val="22"/>
        </w:rPr>
        <w:t xml:space="preserve">— multi-product, versioned routings with ordered stages and target times, so the same part is built the same way every time and actual-vs-target is comparable by stage.</w:t>
      </w:r>
    </w:p>
    <w:p>
      <w:pPr>
        <w:pStyle w:val="ListParagraph"/>
        <w:numPr>
          <w:ilvl w:val="0"/>
          <w:numId w:val="2"/>
        </w:numPr>
        <w:spacing w:after="70" w:line="268"/>
      </w:pPr>
      <w:r>
        <w:rPr>
          <w:b/>
          <w:bCs/>
          <w:color w:val="0E1A2B"/>
          <w:sz w:val="22"/>
          <w:szCs w:val="22"/>
        </w:rPr>
        <w:t xml:space="preserve">Three clients, one API </w:t>
      </w:r>
      <w:r>
        <w:rPr>
          <w:color w:val="1F2937"/>
          <w:sz w:val="22"/>
          <w:szCs w:val="22"/>
        </w:rPr>
        <w:t xml:space="preserve">— Angular web portal, React Native operator app, and a documented REST + real-time (WebSocket) API; deploys on standard cloud infrastructure; role-based access with an audit log.</w:t>
      </w:r>
    </w:p>
    <w:p>
      <w:r>
        <w:br w:type="page"/>
      </w:r>
    </w:p>
    <w:p>
      <w:pPr>
        <w:pStyle w:val="Heading1"/>
      </w:pPr>
      <w:r>
        <w:t xml:space="preserve">6. Messaging pillars</w:t>
      </w:r>
    </w:p>
    <w:p>
      <w:pPr>
        <w:pBdr>
          <w:bottom w:val="single" w:color="2563EB" w:sz="12" w:space="1"/>
        </w:pBdr>
        <w:spacing w:after="120"/>
      </w:pPr>
      <w:r>
        <w:t xml:space="preserve"/>
      </w:r>
    </w:p>
    <w:p>
      <w:pPr>
        <w:spacing w:after="120" w:line="276"/>
      </w:pPr>
      <w:r>
        <w:rPr>
          <w:b w:val="false"/>
          <w:bCs w:val="false"/>
          <w:i w:val="false"/>
          <w:iCs w:val="false"/>
          <w:color w:val="1F2937"/>
          <w:sz w:val="22"/>
          <w:szCs w:val="22"/>
        </w:rPr>
        <w:t xml:space="preserve">Five pillars, each tied to a proven capability. Use these headlines consistently across the site, deck, sell sheet and outreach. The first three are the lead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505"/>
        <w:gridCol w:w="3505"/>
      </w:tblGrid>
      <w:tr>
        <w:tc>
          <w:tcPr>
            <w:tcW w:type="dxa" w:w="235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Pillar</w:t>
            </w:r>
          </w:p>
        </w:tc>
        <w:tc>
          <w:tcPr>
            <w:tcW w:type="dxa" w:w="3505"/>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Say this</w:t>
            </w:r>
          </w:p>
        </w:tc>
        <w:tc>
          <w:tcPr>
            <w:tcW w:type="dxa" w:w="3505"/>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Proof (live in the product)</w:t>
            </w:r>
          </w:p>
        </w:tc>
      </w:tr>
      <w:tr>
        <w:tc>
          <w:tcPr>
            <w:tcW w:type="dxa" w:w="2350"/>
            <w:tcBorders>
              <w:top w:val="single" w:color="D7DEE8" w:sz="1"/>
              <w:left w:val="single" w:color="D7DEE8" w:sz="1"/>
              <w:bottom w:val="single" w:color="D7DEE8" w:sz="1"/>
              <w:right w:val="single" w:color="D7DEE8" w:sz="1"/>
            </w:tcBorders>
            <w:shd w:fill="EAF1FE" w:val="clear"/>
            <w:tcMar>
              <w:top w:type="dxa" w:w="70"/>
              <w:left w:type="dxa" w:w="110"/>
              <w:bottom w:type="dxa" w:w="70"/>
              <w:right w:type="dxa" w:w="110"/>
            </w:tcMar>
            <w:vAlign w:val="center"/>
          </w:tcPr>
          <w:p>
            <w:pPr>
              <w:spacing w:after="20" w:line="250"/>
              <w:jc w:val="left"/>
            </w:pPr>
            <w:r>
              <w:rPr>
                <w:b/>
                <w:bCs/>
                <w:color w:val="0E1A2B"/>
                <w:sz w:val="19"/>
                <w:szCs w:val="19"/>
              </w:rPr>
              <w:t xml:space="preserve">See your floor live</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“Know who’s building what, on which order, against target — right now.”</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Live Stage Status table + real-time dashboard KPIs; updates without refresh on web and mobile.</w:t>
            </w:r>
          </w:p>
        </w:tc>
      </w:tr>
      <w:tr>
        <w:tc>
          <w:tcPr>
            <w:tcW w:type="dxa" w:w="2350"/>
            <w:tcBorders>
              <w:top w:val="single" w:color="D7DEE8" w:sz="1"/>
              <w:left w:val="single" w:color="D7DEE8" w:sz="1"/>
              <w:bottom w:val="single" w:color="D7DEE8" w:sz="1"/>
              <w:right w:val="single" w:color="D7DEE8" w:sz="1"/>
            </w:tcBorders>
            <w:shd w:fill="E7F4F2" w:val="clear"/>
            <w:tcMar>
              <w:top w:type="dxa" w:w="70"/>
              <w:left w:type="dxa" w:w="110"/>
              <w:bottom w:type="dxa" w:w="70"/>
              <w:right w:type="dxa" w:w="110"/>
            </w:tcMar>
            <w:vAlign w:val="center"/>
          </w:tcPr>
          <w:p>
            <w:pPr>
              <w:spacing w:after="20" w:line="250"/>
              <w:jc w:val="left"/>
            </w:pPr>
            <w:r>
              <w:rPr>
                <w:b/>
                <w:bCs/>
                <w:color w:val="0E1A2B"/>
                <w:sz w:val="19"/>
                <w:szCs w:val="19"/>
              </w:rPr>
              <w:t xml:space="preserve">QA in 3D &amp; AR</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“Inspect assemblies against the 3D model — and flag defects right on the geometry, in AR.”</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3D/AR model viewer on the floor; defects pinned to the mesh; type/severity, measurements, tolerances, sign-offs, defect-pattern views.</w:t>
            </w:r>
          </w:p>
        </w:tc>
      </w:tr>
      <w:tr>
        <w:tc>
          <w:tcPr>
            <w:tcW w:type="dxa" w:w="2350"/>
            <w:tcBorders>
              <w:top w:val="single" w:color="D7DEE8" w:sz="1"/>
              <w:left w:val="single" w:color="D7DEE8" w:sz="1"/>
              <w:bottom w:val="single" w:color="D7DEE8" w:sz="1"/>
              <w:right w:val="single" w:color="D7DEE8" w:sz="1"/>
            </w:tcBorders>
            <w:shd w:fill="EAF1FE" w:val="clear"/>
            <w:tcMar>
              <w:top w:type="dxa" w:w="70"/>
              <w:left w:type="dxa" w:w="110"/>
              <w:bottom w:type="dxa" w:w="70"/>
              <w:right w:type="dxa" w:w="110"/>
            </w:tcMar>
            <w:vAlign w:val="center"/>
          </w:tcPr>
          <w:p>
            <w:pPr>
              <w:spacing w:after="20" w:line="250"/>
              <w:jc w:val="left"/>
            </w:pPr>
            <w:r>
              <w:rPr>
                <w:b/>
                <w:bCs/>
                <w:color w:val="0E1A2B"/>
                <w:sz w:val="19"/>
                <w:szCs w:val="19"/>
              </w:rPr>
              <w:t xml:space="preserve">Labor that tracks itself</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“Accurate labor time per operator, per stage — no paper travelers, no end-of-shift guesswork.”</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Per-stage clock in/out, idle/break/rework, supervisor correction, actual-vs-target by stage.</w:t>
            </w:r>
          </w:p>
        </w:tc>
      </w:tr>
      <w:tr>
        <w:tc>
          <w:tcPr>
            <w:tcW w:type="dxa" w:w="235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A tool the floor will actually use</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“If reporting feels like paperwork, it won’t happen. SpadeBloom lives in the operator’s hand.”</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Operator app: assigned work, one-tap clock in/out, 3D/AR reference, offline queue.</w:t>
            </w:r>
          </w:p>
        </w:tc>
      </w:tr>
      <w:tr>
        <w:tc>
          <w:tcPr>
            <w:tcW w:type="dxa" w:w="235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Live in weeks, not quarters</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“Get real-time visibility and model-based QA without a heavyweight ERP project.”</w:t>
            </w:r>
          </w:p>
        </w:tc>
        <w:tc>
          <w:tcPr>
            <w:tcW w:type="dxa" w:w="3505"/>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Focused scope, cloud-hosted, web + mobile + API; versioned process templates to model your routings fast.</w:t>
            </w:r>
          </w:p>
        </w:tc>
      </w:tr>
    </w:tbl>
    <w:p>
      <w:pPr>
        <w:pStyle w:val="Heading1"/>
      </w:pPr>
      <w:r>
        <w:t xml:space="preserve">7. Competitive landscape &amp; where we win</w:t>
      </w:r>
    </w:p>
    <w:p>
      <w:pPr>
        <w:pBdr>
          <w:bottom w:val="single" w:color="2563EB" w:sz="12" w:space="1"/>
        </w:pBdr>
        <w:spacing w:after="120"/>
      </w:pPr>
      <w:r>
        <w:t xml:space="preserve"/>
      </w:r>
    </w:p>
    <w:p>
      <w:pPr>
        <w:spacing w:after="120" w:line="276"/>
      </w:pPr>
      <w:r>
        <w:rPr>
          <w:b w:val="false"/>
          <w:bCs w:val="false"/>
          <w:i w:val="false"/>
          <w:iCs w:val="false"/>
          <w:color w:val="1F2937"/>
          <w:sz w:val="22"/>
          <w:szCs w:val="22"/>
        </w:rPr>
        <w:t xml:space="preserve">The market splits into four alternatives. SpadeBloom’s job is to be the obvious next step for a shop leaving paper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150"/>
        <w:gridCol w:w="2680"/>
        <w:gridCol w:w="2680"/>
      </w:tblGrid>
      <w:tr>
        <w:tc>
          <w:tcPr>
            <w:tcW w:type="dxa" w:w="185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Alternative</w:t>
            </w:r>
          </w:p>
        </w:tc>
        <w:tc>
          <w:tcPr>
            <w:tcW w:type="dxa" w:w="215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Examples</w:t>
            </w:r>
          </w:p>
        </w:tc>
        <w:tc>
          <w:tcPr>
            <w:tcW w:type="dxa" w:w="268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Their strength</w:t>
            </w:r>
          </w:p>
        </w:tc>
        <w:tc>
          <w:tcPr>
            <w:tcW w:type="dxa" w:w="268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Where SpadeBloom wins</w:t>
            </w:r>
          </w:p>
        </w:tc>
      </w:tr>
      <w:tr>
        <w:tc>
          <w:tcPr>
            <w:tcW w:type="dxa" w:w="185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Heavy ERP / MES</w:t>
            </w:r>
          </w:p>
        </w:tc>
        <w:tc>
          <w:tcPr>
            <w:tcW w:type="dxa" w:w="215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Fulcrum, ProShop, Genius ERP, MIE Trak, Global Shop</w:t>
            </w:r>
          </w:p>
        </w:tc>
        <w:tc>
          <w:tcPr>
            <w:tcW w:type="dxa" w:w="268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End-to-end: materials, scheduling, costing, traceability</w:t>
            </w:r>
          </w:p>
        </w:tc>
        <w:tc>
          <w:tcPr>
            <w:tcW w:type="dxa" w:w="268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Faster, cheaper, lower-risk; operators adopt it; 3D/AR QA on the floor; no quarter-long rollout</w:t>
            </w:r>
          </w:p>
        </w:tc>
      </w:tr>
      <w:tr>
        <w:tc>
          <w:tcPr>
            <w:tcW w:type="dxa" w:w="185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bCs/>
                <w:color w:val="0E1A2B"/>
                <w:sz w:val="19"/>
                <w:szCs w:val="19"/>
              </w:rPr>
              <w:t xml:space="preserve">Machine-signal monitors</w:t>
            </w:r>
          </w:p>
        </w:tc>
        <w:tc>
          <w:tcPr>
            <w:tcW w:type="dxa" w:w="215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MachineMetrics</w:t>
            </w:r>
          </w:p>
        </w:tc>
        <w:tc>
          <w:tcPr>
            <w:tcW w:type="dxa" w:w="268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Deep CNC connectivity; machine utilization &amp; downtime</w:t>
            </w:r>
          </w:p>
        </w:tc>
        <w:tc>
          <w:tcPr>
            <w:tcW w:type="dxa" w:w="268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Tracks people, work and part quality — not just the machine; covers manual/weld/assembly stages</w:t>
            </w:r>
          </w:p>
        </w:tc>
      </w:tr>
      <w:tr>
        <w:tc>
          <w:tcPr>
            <w:tcW w:type="dxa" w:w="185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DIY ops platforms</w:t>
            </w:r>
          </w:p>
        </w:tc>
        <w:tc>
          <w:tcPr>
            <w:tcW w:type="dxa" w:w="215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Tulip</w:t>
            </w:r>
          </w:p>
        </w:tc>
        <w:tc>
          <w:tcPr>
            <w:tcW w:type="dxa" w:w="268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Flexible app-builder for the frontline</w:t>
            </w:r>
          </w:p>
        </w:tc>
        <w:tc>
          <w:tcPr>
            <w:tcW w:type="dxa" w:w="268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Turnkey production-control + 3D/AR QA out of the box — nothing to build or maintain</w:t>
            </w:r>
          </w:p>
        </w:tc>
      </w:tr>
      <w:tr>
        <w:tc>
          <w:tcPr>
            <w:tcW w:type="dxa" w:w="185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bCs/>
                <w:color w:val="0E1A2B"/>
                <w:sz w:val="19"/>
                <w:szCs w:val="19"/>
              </w:rPr>
              <w:t xml:space="preserve">Paper &amp; spreadsheets</w:t>
            </w:r>
          </w:p>
        </w:tc>
        <w:tc>
          <w:tcPr>
            <w:tcW w:type="dxa" w:w="215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Travelers, whiteboards, Excel, clipboard QA</w:t>
            </w:r>
          </w:p>
        </w:tc>
        <w:tc>
          <w:tcPr>
            <w:tcW w:type="dxa" w:w="268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Free, familiar, no rollout</w:t>
            </w:r>
          </w:p>
        </w:tc>
        <w:tc>
          <w:tcPr>
            <w:tcW w:type="dxa" w:w="268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Real-time vs. 12-hour-old data; consistent capture; model-based QA vs. paper checklists</w:t>
            </w:r>
          </w:p>
        </w:tc>
      </w:tr>
    </w:tbl>
    <w:p>
      <w:pPr>
        <w:spacing w:after="140" w:line="276"/>
      </w:pPr>
      <w:r>
        <w:rPr>
          <w:b w:val="false"/>
          <w:bCs w:val="false"/>
          <w:i/>
          <w:iCs/>
          <w:color w:val="566071"/>
          <w:sz w:val="22"/>
          <w:szCs w:val="22"/>
        </w:rPr>
        <w:t xml:space="preserve">Your sharpest differentiator: 3D/AR quality. Inspecting a built assembly against the actual model and pinning defects to the geometry is something heavy ERPs only log as flat data, machine monitors don’t do at all, and paper can’t. Lead with it where quality and rework are the buyer’s pain.</w:t>
      </w:r>
    </w:p>
    <w:p>
      <w:pPr>
        <w:spacing w:after="140" w:line="276"/>
      </w:pPr>
      <w:r>
        <w:rPr>
          <w:b w:val="false"/>
          <w:bCs w:val="false"/>
          <w:i/>
          <w:iCs/>
          <w:color w:val="566071"/>
          <w:sz w:val="22"/>
          <w:szCs w:val="22"/>
        </w:rPr>
        <w:t xml:space="preserve">Be candid about boundaries. SpadeBloom does not (yet) do materials/BOM, finite scheduling, equipment maintenance, traceability or costing roll-ups. Saying so plainly builds trust and steers prospects to the comparison you win.</w:t>
      </w:r>
    </w:p>
    <w:p>
      <w:r>
        <w:br w:type="page"/>
      </w:r>
    </w:p>
    <w:p>
      <w:pPr>
        <w:pStyle w:val="Heading1"/>
      </w:pPr>
      <w:r>
        <w:t xml:space="preserve">8. Turning gaps into a roadmap story</w:t>
      </w:r>
    </w:p>
    <w:p>
      <w:pPr>
        <w:pBdr>
          <w:bottom w:val="single" w:color="2563EB" w:sz="12" w:space="1"/>
        </w:pBdr>
        <w:spacing w:after="120"/>
      </w:pPr>
      <w:r>
        <w:t xml:space="preserve"/>
      </w:r>
    </w:p>
    <w:p>
      <w:pPr>
        <w:spacing w:after="100" w:line="276"/>
      </w:pPr>
      <w:r>
        <w:rPr>
          <w:b w:val="false"/>
          <w:bCs w:val="false"/>
          <w:i w:val="false"/>
          <w:iCs w:val="false"/>
          <w:color w:val="1F2937"/>
          <w:sz w:val="22"/>
          <w:szCs w:val="22"/>
        </w:rPr>
        <w:t xml:space="preserve">Prospects will ask about materials, scheduling and costing. Don’t bluff — frame them as a sequenced roadmap that starts from the data SpadeBloom already captures:</w:t>
      </w:r>
    </w:p>
    <w:p>
      <w:pPr>
        <w:pStyle w:val="ListParagraph"/>
        <w:numPr>
          <w:ilvl w:val="0"/>
          <w:numId w:val="2"/>
        </w:numPr>
        <w:spacing w:after="70" w:line="268"/>
      </w:pPr>
      <w:r>
        <w:rPr>
          <w:b/>
          <w:bCs/>
          <w:color w:val="0E1A2B"/>
          <w:sz w:val="22"/>
          <w:szCs w:val="22"/>
        </w:rPr>
        <w:t xml:space="preserve">3D/AR QA, expanded </w:t>
      </w:r>
      <w:r>
        <w:rPr>
          <w:color w:val="1F2937"/>
          <w:sz w:val="22"/>
          <w:szCs w:val="22"/>
        </w:rPr>
        <w:t xml:space="preserve">— deepen scan-to-model comparison and AR overlays so QA gets even faster and more automatic (already in progress — keep it prominent on the roadmap slide).</w:t>
      </w:r>
    </w:p>
    <w:p>
      <w:pPr>
        <w:pStyle w:val="ListParagraph"/>
        <w:numPr>
          <w:ilvl w:val="0"/>
          <w:numId w:val="2"/>
        </w:numPr>
        <w:spacing w:after="70" w:line="268"/>
      </w:pPr>
      <w:r>
        <w:rPr>
          <w:b/>
          <w:bCs/>
          <w:color w:val="0E1A2B"/>
          <w:sz w:val="22"/>
          <w:szCs w:val="22"/>
        </w:rPr>
        <w:t xml:space="preserve">Materials &amp; BOM </w:t>
      </w:r>
      <w:r>
        <w:rPr>
          <w:color w:val="1F2937"/>
          <w:sz w:val="22"/>
          <w:szCs w:val="22"/>
        </w:rPr>
        <w:t xml:space="preserve">— BOM per product, raw stock, issue/consumption and a shortage check before a work order is released. (Highest-impact addition for metal fab.)</w:t>
      </w:r>
    </w:p>
    <w:p>
      <w:pPr>
        <w:pStyle w:val="ListParagraph"/>
        <w:numPr>
          <w:ilvl w:val="0"/>
          <w:numId w:val="2"/>
        </w:numPr>
        <w:spacing w:after="70" w:line="268"/>
      </w:pPr>
      <w:r>
        <w:rPr>
          <w:b/>
          <w:bCs/>
          <w:color w:val="0E1A2B"/>
          <w:sz w:val="22"/>
          <w:szCs w:val="22"/>
        </w:rPr>
        <w:t xml:space="preserve">Equipment &amp; downtime </w:t>
      </w:r>
      <w:r>
        <w:rPr>
          <w:color w:val="1F2937"/>
          <w:sz w:val="22"/>
          <w:szCs w:val="22"/>
        </w:rPr>
        <w:t xml:space="preserve">— promote stations to machines with state and downtime reasons; feed a genuine availability number.</w:t>
      </w:r>
    </w:p>
    <w:p>
      <w:pPr>
        <w:pStyle w:val="ListParagraph"/>
        <w:numPr>
          <w:ilvl w:val="0"/>
          <w:numId w:val="2"/>
        </w:numPr>
        <w:spacing w:after="70" w:line="268"/>
      </w:pPr>
      <w:r>
        <w:rPr>
          <w:b/>
          <w:bCs/>
          <w:color w:val="0E1A2B"/>
          <w:sz w:val="22"/>
          <w:szCs w:val="22"/>
        </w:rPr>
        <w:t xml:space="preserve">Capacity &amp; scheduling </w:t>
      </w:r>
      <w:r>
        <w:rPr>
          <w:color w:val="1F2937"/>
          <w:sz w:val="22"/>
          <w:szCs w:val="22"/>
        </w:rPr>
        <w:t xml:space="preserve">— per-line load-vs-capacity by week, building toward a finite scheduler.</w:t>
      </w:r>
    </w:p>
    <w:p>
      <w:pPr>
        <w:pStyle w:val="ListParagraph"/>
        <w:numPr>
          <w:ilvl w:val="0"/>
          <w:numId w:val="2"/>
        </w:numPr>
        <w:spacing w:after="70" w:line="268"/>
      </w:pPr>
      <w:r>
        <w:rPr>
          <w:b/>
          <w:bCs/>
          <w:color w:val="0E1A2B"/>
          <w:sz w:val="22"/>
          <w:szCs w:val="22"/>
        </w:rPr>
        <w:t xml:space="preserve">Costing </w:t>
      </w:r>
      <w:r>
        <w:rPr>
          <w:color w:val="1F2937"/>
          <w:sz w:val="22"/>
          <w:szCs w:val="22"/>
        </w:rPr>
        <w:t xml:space="preserve">— roll the labor time already captured into cost per order and per part; add material cost later.</w:t>
      </w:r>
    </w:p>
    <w:p>
      <w:pPr>
        <w:pStyle w:val="ListParagraph"/>
        <w:numPr>
          <w:ilvl w:val="0"/>
          <w:numId w:val="2"/>
        </w:numPr>
        <w:spacing w:after="70" w:line="268"/>
      </w:pPr>
      <w:r>
        <w:rPr>
          <w:b/>
          <w:bCs/>
          <w:color w:val="0E1A2B"/>
          <w:sz w:val="22"/>
          <w:szCs w:val="22"/>
        </w:rPr>
        <w:t xml:space="preserve">Traceability </w:t>
      </w:r>
      <w:r>
        <w:rPr>
          <w:color w:val="1F2937"/>
          <w:sz w:val="22"/>
          <w:szCs w:val="22"/>
        </w:rPr>
        <w:t xml:space="preserve">— lot/heat on materials and serial genealogy on output, for cert-driven fabrication.</w:t>
      </w:r>
    </w:p>
    <w:p>
      <w:pPr>
        <w:spacing w:after="140" w:line="276"/>
      </w:pPr>
      <w:r>
        <w:rPr>
          <w:b w:val="false"/>
          <w:bCs w:val="false"/>
          <w:i/>
          <w:iCs/>
          <w:color w:val="B45309"/>
          <w:sz w:val="22"/>
          <w:szCs w:val="22"/>
        </w:rPr>
        <w:t xml:space="preserve">One honesty note that protects credibility: the dashboard’s “Avg Efficiency” number is a labor-efficiency ratio, not true OEE (real availability needs machine downtime, which isn’t captured yet). Market it as “labor efficiency,” not OEE, until equipment/downtime exists.</w:t>
      </w:r>
    </w:p>
    <w:p>
      <w:pPr>
        <w:pStyle w:val="Heading1"/>
      </w:pPr>
      <w:r>
        <w:t xml:space="preserve">9. Pricing approach (recommendation)</w:t>
      </w:r>
    </w:p>
    <w:p>
      <w:pPr>
        <w:pBdr>
          <w:bottom w:val="single" w:color="2563EB" w:sz="12" w:space="1"/>
        </w:pBdr>
        <w:spacing w:after="120"/>
      </w:pPr>
      <w:r>
        <w:t xml:space="preserve"/>
      </w:r>
    </w:p>
    <w:p>
      <w:pPr>
        <w:spacing w:after="140" w:line="276"/>
      </w:pPr>
      <w:r>
        <w:rPr>
          <w:b w:val="false"/>
          <w:bCs w:val="false"/>
          <w:i w:val="false"/>
          <w:iCs w:val="false"/>
          <w:color w:val="1F2937"/>
          <w:sz w:val="22"/>
          <w:szCs w:val="22"/>
        </w:rPr>
        <w:t xml:space="preserve">Recommended model: a per-site SaaS subscription banded by operator count, billed monthly or annually, with a one-time onboarding fee and a free or low-cost pilot. Band by operators rather than charging per named seat — you want every operator clocking in, so don’t price against adoption. The figures below are illustrative anchors to validate in discovery calls, not a final price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600"/>
        <w:gridCol w:w="2710"/>
        <w:gridCol w:w="2300"/>
      </w:tblGrid>
      <w:tr>
        <w:tc>
          <w:tcPr>
            <w:tcW w:type="dxa" w:w="175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Tier</w:t>
            </w:r>
          </w:p>
        </w:tc>
        <w:tc>
          <w:tcPr>
            <w:tcW w:type="dxa" w:w="260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Best for</w:t>
            </w:r>
          </w:p>
        </w:tc>
        <w:tc>
          <w:tcPr>
            <w:tcW w:type="dxa" w:w="271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Includes</w:t>
            </w:r>
          </w:p>
        </w:tc>
        <w:tc>
          <w:tcPr>
            <w:tcW w:type="dxa" w:w="230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Illustrative (USD)</w:t>
            </w:r>
          </w:p>
        </w:tc>
      </w:tr>
      <w:tr>
        <w:tc>
          <w:tcPr>
            <w:tcW w:type="dxa" w:w="175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Pilot</w:t>
            </w:r>
          </w:p>
        </w:tc>
        <w:tc>
          <w:tcPr>
            <w:tcW w:type="dxa" w:w="26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Proving value on one line</w:t>
            </w:r>
          </w:p>
        </w:tc>
        <w:tc>
          <w:tcPr>
            <w:tcW w:type="dxa" w:w="271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1 line, up to ~10 operators, core tracking &amp; dashboard</w:t>
            </w:r>
          </w:p>
        </w:tc>
        <w:tc>
          <w:tcPr>
            <w:tcW w:type="dxa" w:w="23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Free / low, 30–60 days</w:t>
            </w:r>
          </w:p>
        </w:tc>
      </w:tr>
      <w:tr>
        <w:tc>
          <w:tcPr>
            <w:tcW w:type="dxa" w:w="175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bCs/>
                <w:color w:val="0E1A2B"/>
                <w:sz w:val="19"/>
                <w:szCs w:val="19"/>
              </w:rPr>
              <w:t xml:space="preserve">Starter</w:t>
            </w:r>
          </w:p>
        </w:tc>
        <w:tc>
          <w:tcPr>
            <w:tcW w:type="dxa" w:w="26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Single small shop</w:t>
            </w:r>
          </w:p>
        </w:tc>
        <w:tc>
          <w:tcPr>
            <w:tcW w:type="dxa" w:w="271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1 site, up to ~15 operators, web + mobile, kanban, reports</w:t>
            </w:r>
          </w:p>
        </w:tc>
        <w:tc>
          <w:tcPr>
            <w:tcW w:type="dxa" w:w="23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~$300–500 / mo</w:t>
            </w:r>
          </w:p>
        </w:tc>
      </w:tr>
      <w:tr>
        <w:tc>
          <w:tcPr>
            <w:tcW w:type="dxa" w:w="175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Growth</w:t>
            </w:r>
          </w:p>
        </w:tc>
        <w:tc>
          <w:tcPr>
            <w:tcW w:type="dxa" w:w="26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Busy multi-line shop</w:t>
            </w:r>
          </w:p>
        </w:tc>
        <w:tc>
          <w:tcPr>
            <w:tcW w:type="dxa" w:w="271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1 site, up to ~50 operators, 3D/AR QA, inspection, audit log</w:t>
            </w:r>
          </w:p>
        </w:tc>
        <w:tc>
          <w:tcPr>
            <w:tcW w:type="dxa" w:w="23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~$700–1,200 / mo</w:t>
            </w:r>
          </w:p>
        </w:tc>
      </w:tr>
      <w:tr>
        <w:tc>
          <w:tcPr>
            <w:tcW w:type="dxa" w:w="175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bCs/>
                <w:color w:val="0E1A2B"/>
                <w:sz w:val="19"/>
                <w:szCs w:val="19"/>
              </w:rPr>
              <w:t xml:space="preserve">Plant</w:t>
            </w:r>
          </w:p>
        </w:tc>
        <w:tc>
          <w:tcPr>
            <w:tcW w:type="dxa" w:w="26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Larger / multi-site</w:t>
            </w:r>
          </w:p>
        </w:tc>
        <w:tc>
          <w:tcPr>
            <w:tcW w:type="dxa" w:w="271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Multi-site, 50+ operators, priority support, SSO</w:t>
            </w:r>
          </w:p>
        </w:tc>
        <w:tc>
          <w:tcPr>
            <w:tcW w:type="dxa" w:w="23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Custom</w:t>
            </w:r>
          </w:p>
        </w:tc>
      </w:tr>
    </w:tbl>
    <w:p>
      <w:pPr>
        <w:spacing w:after="140" w:line="276"/>
      </w:pPr>
      <w:r>
        <w:rPr>
          <w:b w:val="false"/>
          <w:bCs w:val="false"/>
          <w:i/>
          <w:iCs/>
          <w:color w:val="566071"/>
          <w:sz w:val="22"/>
          <w:szCs w:val="22"/>
        </w:rPr>
        <w:t xml:space="preserve">Global note: publish in USD as the anchor; for India and other price-sensitive markets, set a PPP-adjusted local price (often 40–60% of the USD figure) rather than a straight currency conversion. Sell annual contracts where possible — floor software is sticky once labor and QA data accrue.</w:t>
      </w:r>
    </w:p>
    <w:p>
      <w:r>
        <w:br w:type="page"/>
      </w:r>
    </w:p>
    <w:p>
      <w:pPr>
        <w:pStyle w:val="Heading1"/>
      </w:pPr>
      <w:r>
        <w:t xml:space="preserve">10. Building market presence — the plan</w:t>
      </w:r>
    </w:p>
    <w:p>
      <w:pPr>
        <w:pBdr>
          <w:bottom w:val="single" w:color="2563EB" w:sz="12" w:space="1"/>
        </w:pBdr>
        <w:spacing w:after="120"/>
      </w:pPr>
      <w:r>
        <w:t xml:space="preserve"/>
      </w:r>
    </w:p>
    <w:p>
      <w:pPr>
        <w:spacing w:after="100" w:line="276"/>
      </w:pPr>
      <w:r>
        <w:rPr>
          <w:b w:val="false"/>
          <w:bCs w:val="false"/>
          <w:i w:val="false"/>
          <w:iCs w:val="false"/>
          <w:color w:val="1F2937"/>
          <w:sz w:val="22"/>
          <w:szCs w:val="22"/>
        </w:rPr>
        <w:t xml:space="preserve">Your stated goal is presence and showing off the product. Highest-leverage moves, in order:</w:t>
      </w:r>
    </w:p>
    <w:p>
      <w:pPr>
        <w:pStyle w:val="ListParagraph"/>
        <w:numPr>
          <w:ilvl w:val="0"/>
          <w:numId w:val="2"/>
        </w:numPr>
        <w:spacing w:after="70" w:line="268"/>
      </w:pPr>
      <w:r>
        <w:rPr>
          <w:b/>
          <w:bCs/>
          <w:color w:val="0E1A2B"/>
          <w:sz w:val="22"/>
          <w:szCs w:val="22"/>
        </w:rPr>
        <w:t xml:space="preserve">Fix the front door (P0) </w:t>
      </w:r>
      <w:r>
        <w:rPr>
          <w:color w:val="1F2937"/>
          <w:sz w:val="22"/>
          <w:szCs w:val="22"/>
        </w:rPr>
        <w:t xml:space="preserve">— today, www.spadebloom.com shows a dark “Terminal Initialization” login screen. That is a closed door to a buyer. Replace it with a benefit-led marketing site: hero (“See who’s building what, right now — and inspect it in 3D”), annotated product screenshots, a 90-second demo video, and a single clear “Book a demo” CTA.</w:t>
      </w:r>
    </w:p>
    <w:p>
      <w:pPr>
        <w:pStyle w:val="ListParagraph"/>
        <w:numPr>
          <w:ilvl w:val="0"/>
          <w:numId w:val="2"/>
        </w:numPr>
        <w:spacing w:after="70" w:line="268"/>
      </w:pPr>
      <w:r>
        <w:rPr>
          <w:b/>
          <w:bCs/>
          <w:color w:val="0E1A2B"/>
          <w:sz w:val="22"/>
          <w:szCs w:val="22"/>
        </w:rPr>
        <w:t xml:space="preserve">Make the demo show off the product </w:t>
      </w:r>
      <w:r>
        <w:rPr>
          <w:color w:val="1F2937"/>
          <w:sz w:val="22"/>
          <w:szCs w:val="22"/>
        </w:rPr>
        <w:t xml:space="preserve">— you already run demo.spadebloom.com. Make it a guided, pre-seeded demo (a populated floor, not zeros), and capture a short clip of an AR/3D assembly inspection — that visual sells.</w:t>
      </w:r>
    </w:p>
    <w:p>
      <w:pPr>
        <w:pStyle w:val="ListParagraph"/>
        <w:numPr>
          <w:ilvl w:val="0"/>
          <w:numId w:val="2"/>
        </w:numPr>
        <w:spacing w:after="70" w:line="268"/>
      </w:pPr>
      <w:r>
        <w:rPr>
          <w:b/>
          <w:bCs/>
          <w:color w:val="0E1A2B"/>
          <w:sz w:val="22"/>
          <w:szCs w:val="22"/>
        </w:rPr>
        <w:t xml:space="preserve">Land 1–2 reference customers </w:t>
      </w:r>
      <w:r>
        <w:rPr>
          <w:color w:val="1F2937"/>
          <w:sz w:val="22"/>
          <w:szCs w:val="22"/>
        </w:rPr>
        <w:t xml:space="preserve">— the single biggest presence multiplier. Get 1–2 fab shops live, capture before/after (hours to find job status, labor-capture rate, rework / QA escape rate, on-time delivery), and publish a one-page case study with a quote.</w:t>
      </w:r>
    </w:p>
    <w:p>
      <w:pPr>
        <w:pStyle w:val="ListParagraph"/>
        <w:numPr>
          <w:ilvl w:val="0"/>
          <w:numId w:val="2"/>
        </w:numPr>
        <w:spacing w:after="70" w:line="268"/>
      </w:pPr>
      <w:r>
        <w:rPr>
          <w:b/>
          <w:bCs/>
          <w:color w:val="0E1A2B"/>
          <w:sz w:val="22"/>
          <w:szCs w:val="22"/>
        </w:rPr>
        <w:t xml:space="preserve">Content &amp; SEO </w:t>
      </w:r>
      <w:r>
        <w:rPr>
          <w:color w:val="1F2937"/>
          <w:sz w:val="22"/>
          <w:szCs w:val="22"/>
        </w:rPr>
        <w:t xml:space="preserve">— publish around the exact pain keywords prospects search: “metal fabrication job tracking software,” “shop floor labor tracking,” “3D/AR weld inspection,” “real-time production visibility,” plus honest comparison pages (“vs. spreadsheets,” “a lighter alternative to a full ERP”).</w:t>
      </w:r>
    </w:p>
    <w:p>
      <w:pPr>
        <w:pStyle w:val="ListParagraph"/>
        <w:numPr>
          <w:ilvl w:val="0"/>
          <w:numId w:val="2"/>
        </w:numPr>
        <w:spacing w:after="70" w:line="268"/>
      </w:pPr>
      <w:r>
        <w:rPr>
          <w:b/>
          <w:bCs/>
          <w:color w:val="0E1A2B"/>
          <w:sz w:val="22"/>
          <w:szCs w:val="22"/>
        </w:rPr>
        <w:t xml:space="preserve">LinkedIn presence </w:t>
      </w:r>
      <w:r>
        <w:rPr>
          <w:color w:val="1F2937"/>
          <w:sz w:val="22"/>
          <w:szCs w:val="22"/>
        </w:rPr>
        <w:t xml:space="preserve">— post the live dashboard, short operator-app clips, and especially the 3D/AR QA inspection from the founder’s and company pages; this is where manufacturing buyers actually hang out.</w:t>
      </w:r>
    </w:p>
    <w:p>
      <w:pPr>
        <w:pStyle w:val="ListParagraph"/>
        <w:numPr>
          <w:ilvl w:val="0"/>
          <w:numId w:val="2"/>
        </w:numPr>
        <w:spacing w:after="70" w:line="268"/>
      </w:pPr>
      <w:r>
        <w:rPr>
          <w:b/>
          <w:bCs/>
          <w:color w:val="0E1A2B"/>
          <w:sz w:val="22"/>
          <w:szCs w:val="22"/>
        </w:rPr>
        <w:t xml:space="preserve">Communities &amp; events + outbound </w:t>
      </w:r>
      <w:r>
        <w:rPr>
          <w:color w:val="1F2937"/>
          <w:sz w:val="22"/>
          <w:szCs w:val="22"/>
        </w:rPr>
        <w:t xml:space="preserve">— fabricator subreddits and Facebook groups, regional trade shows (e.g., FABTECH), and in-person visits to local shops; pair with the cold-outreach kit as the next asset.</w:t>
      </w:r>
    </w:p>
    <w:p>
      <w:pPr>
        <w:spacing w:after="40"/>
      </w:pPr>
      <w:r>
        <w:t xml:space="preserve"/>
      </w:r>
    </w:p>
    <w:p>
      <w:pPr>
        <w:pStyle w:val="Heading2"/>
      </w:pPr>
      <w:r>
        <w:t xml:space="preserve">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Horizon</w:t>
            </w:r>
          </w:p>
        </w:tc>
        <w:tc>
          <w:tcPr>
            <w:tcW w:type="dxa" w:w="320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Focus</w:t>
            </w:r>
          </w:p>
        </w:tc>
        <w:tc>
          <w:tcPr>
            <w:tcW w:type="dxa" w:w="4660"/>
            <w:tcBorders>
              <w:top w:val="single" w:color="D7DEE8" w:sz="1"/>
              <w:left w:val="single" w:color="D7DEE8" w:sz="1"/>
              <w:bottom w:val="single" w:color="D7DEE8" w:sz="1"/>
              <w:right w:val="single" w:color="D7DEE8" w:sz="1"/>
            </w:tcBorders>
            <w:shd w:fill="0E1A2B" w:val="clear"/>
            <w:tcMar>
              <w:top w:type="dxa" w:w="70"/>
              <w:left w:type="dxa" w:w="110"/>
              <w:bottom w:type="dxa" w:w="70"/>
              <w:right w:type="dxa" w:w="110"/>
            </w:tcMar>
            <w:vAlign w:val="center"/>
          </w:tcPr>
          <w:p>
            <w:pPr>
              <w:spacing w:after="20" w:line="250"/>
              <w:jc w:val="left"/>
            </w:pPr>
            <w:r>
              <w:rPr>
                <w:b/>
                <w:bCs/>
                <w:color w:val="FFFFFF"/>
                <w:sz w:val="19"/>
                <w:szCs w:val="19"/>
              </w:rPr>
              <w:t xml:space="preserve">Concrete actions</w:t>
            </w:r>
          </w:p>
        </w:tc>
      </w:tr>
      <w:tr>
        <w:tc>
          <w:tcPr>
            <w:tcW w:type="dxa" w:w="1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Days 0–30</w:t>
            </w:r>
          </w:p>
        </w:tc>
        <w:tc>
          <w:tcPr>
            <w:tcW w:type="dxa" w:w="32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Foundation &amp; front door</w:t>
            </w:r>
          </w:p>
        </w:tc>
        <w:tc>
          <w:tcPr>
            <w:tcW w:type="dxa" w:w="46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Ship marketing site + demo video (include a 3D/AR QA clip); finalize positioning (this brief), deck and sell sheet; set up LinkedIn company page; build a target list of 50 local fab shops.</w:t>
            </w:r>
          </w:p>
        </w:tc>
      </w:tr>
      <w:tr>
        <w:tc>
          <w:tcPr>
            <w:tcW w:type="dxa" w:w="15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bCs/>
                <w:color w:val="0E1A2B"/>
                <w:sz w:val="19"/>
                <w:szCs w:val="19"/>
              </w:rPr>
              <w:t xml:space="preserve">Days 31–60</w:t>
            </w:r>
          </w:p>
        </w:tc>
        <w:tc>
          <w:tcPr>
            <w:tcW w:type="dxa" w:w="32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Pipeline &amp; proof</w:t>
            </w:r>
          </w:p>
        </w:tc>
        <w:tc>
          <w:tcPr>
            <w:tcW w:type="dxa" w:w="46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Launch outbound + LinkedIn cadence; publish 3 SEO/comparison pages; start a paid pilot with 1–2 shops; book 10+ demos.</w:t>
            </w:r>
          </w:p>
        </w:tc>
      </w:tr>
      <w:tr>
        <w:tc>
          <w:tcPr>
            <w:tcW w:type="dxa" w:w="1500"/>
            <w:tcBorders>
              <w:top w:val="single" w:color="D7DEE8" w:sz="1"/>
              <w:left w:val="single" w:color="D7DEE8" w:sz="1"/>
              <w:bottom w:val="single" w:color="D7DEE8" w:sz="1"/>
              <w:right w:val="single" w:color="D7DEE8" w:sz="1"/>
            </w:tcBorders>
            <w:shd w:fill="F2F5FA" w:val="clear"/>
            <w:tcMar>
              <w:top w:type="dxa" w:w="70"/>
              <w:left w:type="dxa" w:w="110"/>
              <w:bottom w:type="dxa" w:w="70"/>
              <w:right w:type="dxa" w:w="110"/>
            </w:tcMar>
            <w:vAlign w:val="center"/>
          </w:tcPr>
          <w:p>
            <w:pPr>
              <w:spacing w:after="20" w:line="250"/>
              <w:jc w:val="left"/>
            </w:pPr>
            <w:r>
              <w:rPr>
                <w:b/>
                <w:bCs/>
                <w:color w:val="0E1A2B"/>
                <w:sz w:val="19"/>
                <w:szCs w:val="19"/>
              </w:rPr>
              <w:t xml:space="preserve">Days 61–90</w:t>
            </w:r>
          </w:p>
        </w:tc>
        <w:tc>
          <w:tcPr>
            <w:tcW w:type="dxa" w:w="320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Convert &amp; amplify</w:t>
            </w:r>
          </w:p>
        </w:tc>
        <w:tc>
          <w:tcPr>
            <w:tcW w:type="dxa" w:w="4660"/>
            <w:tcBorders>
              <w:top w:val="single" w:color="D7DEE8" w:sz="1"/>
              <w:left w:val="single" w:color="D7DEE8" w:sz="1"/>
              <w:bottom w:val="single" w:color="D7DEE8" w:sz="1"/>
              <w:right w:val="single" w:color="D7DEE8" w:sz="1"/>
            </w:tcBorders>
            <w:shd w:fill="FFFFFF" w:val="clear"/>
            <w:tcMar>
              <w:top w:type="dxa" w:w="70"/>
              <w:left w:type="dxa" w:w="110"/>
              <w:bottom w:type="dxa" w:w="70"/>
              <w:right w:type="dxa" w:w="110"/>
            </w:tcMar>
            <w:vAlign w:val="center"/>
          </w:tcPr>
          <w:p>
            <w:pPr>
              <w:spacing w:after="20" w:line="250"/>
              <w:jc w:val="left"/>
            </w:pPr>
            <w:r>
              <w:rPr>
                <w:b w:val="false"/>
                <w:bCs w:val="false"/>
                <w:color w:val="1F2937"/>
                <w:sz w:val="19"/>
                <w:szCs w:val="19"/>
              </w:rPr>
              <w:t xml:space="preserve">Convert a pilot to paid; publish the first case study; add an ROI/labor-cost calculator to the site; collect testimonials; attend or plan one trade event.</w:t>
            </w:r>
          </w:p>
        </w:tc>
      </w:tr>
    </w:tbl>
    <w:p>
      <w:pPr>
        <w:pStyle w:val="Heading2"/>
      </w:pPr>
      <w:r>
        <w:t xml:space="preserve">Assets: done &amp; next</w:t>
      </w:r>
    </w:p>
    <w:p>
      <w:pPr>
        <w:pStyle w:val="ListParagraph"/>
        <w:numPr>
          <w:ilvl w:val="0"/>
          <w:numId w:val="2"/>
        </w:numPr>
        <w:spacing w:after="70" w:line="268"/>
      </w:pPr>
      <w:r>
        <w:rPr>
          <w:b/>
          <w:bCs/>
          <w:color w:val="0E1A2B"/>
          <w:sz w:val="22"/>
          <w:szCs w:val="22"/>
        </w:rPr>
        <w:t xml:space="preserve">Delivered now: </w:t>
      </w:r>
      <w:r>
        <w:rPr>
          <w:color w:val="1F2937"/>
          <w:sz w:val="22"/>
          <w:szCs w:val="22"/>
        </w:rPr>
        <w:t xml:space="preserve">this GTM brief, the pitch deck, and the one-page sell sheet.</w:t>
      </w:r>
    </w:p>
    <w:p>
      <w:pPr>
        <w:pStyle w:val="ListParagraph"/>
        <w:numPr>
          <w:ilvl w:val="0"/>
          <w:numId w:val="2"/>
        </w:numPr>
        <w:spacing w:after="70" w:line="268"/>
      </w:pPr>
      <w:r>
        <w:rPr>
          <w:b/>
          <w:bCs/>
          <w:color w:val="0E1A2B"/>
          <w:sz w:val="22"/>
          <w:szCs w:val="22"/>
        </w:rPr>
        <w:t xml:space="preserve">Build next: </w:t>
      </w:r>
      <w:r>
        <w:rPr>
          <w:color w:val="1F2937"/>
          <w:sz w:val="22"/>
          <w:szCs w:val="22"/>
        </w:rPr>
        <w:t xml:space="preserve">90-second demo video (with a 3D/AR QA segment), marketing-site copy, cold-outreach kit (email + LinkedIn + demo script), first case study, and an ROI calculator.</w:t>
      </w:r>
    </w:p>
    <w:p>
      <w:pPr>
        <w:pStyle w:val="Heading1"/>
      </w:pPr>
      <w:r>
        <w:t xml:space="preserve">11. Honesty guardrails (so claims survive a demo)</w:t>
      </w:r>
    </w:p>
    <w:p>
      <w:pPr>
        <w:pBdr>
          <w:bottom w:val="single" w:color="2563EB" w:sz="12" w:space="1"/>
        </w:pBdr>
        <w:spacing w:after="120"/>
      </w:pPr>
      <w:r>
        <w:t xml:space="preserve"/>
      </w:r>
    </w:p>
    <w:p>
      <w:pPr>
        <w:pStyle w:val="ListParagraph"/>
        <w:numPr>
          <w:ilvl w:val="0"/>
          <w:numId w:val="2"/>
        </w:numPr>
        <w:spacing w:after="70" w:line="268"/>
      </w:pPr>
      <w:r>
        <w:rPr>
          <w:b/>
          <w:bCs/>
          <w:color w:val="0E1A2B"/>
          <w:sz w:val="22"/>
          <w:szCs w:val="22"/>
        </w:rPr>
        <w:t xml:space="preserve">Don’t say OEE — </w:t>
      </w:r>
      <w:r>
        <w:rPr>
          <w:color w:val="1F2937"/>
          <w:sz w:val="22"/>
          <w:szCs w:val="22"/>
        </w:rPr>
        <w:t xml:space="preserve">call it “labor efficiency,” never OEE, until machine downtime is captured.</w:t>
      </w:r>
    </w:p>
    <w:p>
      <w:pPr>
        <w:pStyle w:val="ListParagraph"/>
        <w:numPr>
          <w:ilvl w:val="0"/>
          <w:numId w:val="2"/>
        </w:numPr>
        <w:spacing w:after="70" w:line="268"/>
      </w:pPr>
      <w:r>
        <w:rPr>
          <w:b/>
          <w:bCs/>
          <w:color w:val="0E1A2B"/>
          <w:sz w:val="22"/>
          <w:szCs w:val="22"/>
        </w:rPr>
        <w:t xml:space="preserve">Don’t imply full ERP/MRP — </w:t>
      </w:r>
      <w:r>
        <w:rPr>
          <w:color w:val="1F2937"/>
          <w:sz w:val="22"/>
          <w:szCs w:val="22"/>
        </w:rPr>
        <w:t xml:space="preserve">no materials/BOM, finite scheduling, equipment/maintenance, traceability or costing today. Position these as roadmap.</w:t>
      </w:r>
    </w:p>
    <w:p>
      <w:pPr>
        <w:pStyle w:val="ListParagraph"/>
        <w:numPr>
          <w:ilvl w:val="0"/>
          <w:numId w:val="2"/>
        </w:numPr>
        <w:spacing w:after="70" w:line="268"/>
      </w:pPr>
      <w:r>
        <w:rPr>
          <w:b/>
          <w:bCs/>
          <w:color w:val="0E1A2B"/>
          <w:sz w:val="22"/>
          <w:szCs w:val="22"/>
        </w:rPr>
        <w:t xml:space="preserve">Frame 3D/AR QA accurately — </w:t>
      </w:r>
      <w:r>
        <w:rPr>
          <w:color w:val="1F2937"/>
          <w:sz w:val="22"/>
          <w:szCs w:val="22"/>
        </w:rPr>
        <w:t xml:space="preserve">describe 3D/AR QA as it works today (view assembly vs. model, defects on geometry, AR-assisted inspection, sign-offs); note deeper scan-to-model comparison as in-progress rather than done.</w:t>
      </w:r>
    </w:p>
    <w:p>
      <w:pPr>
        <w:pStyle w:val="ListParagraph"/>
        <w:numPr>
          <w:ilvl w:val="0"/>
          <w:numId w:val="2"/>
        </w:numPr>
        <w:spacing w:after="70" w:line="268"/>
      </w:pPr>
      <w:r>
        <w:rPr>
          <w:b/>
          <w:bCs/>
          <w:color w:val="0E1A2B"/>
          <w:sz w:val="22"/>
          <w:szCs w:val="22"/>
        </w:rPr>
        <w:t xml:space="preserve">Do lean hard on what’s real — </w:t>
      </w:r>
      <w:r>
        <w:rPr>
          <w:color w:val="1F2937"/>
          <w:sz w:val="22"/>
          <w:szCs w:val="22"/>
        </w:rPr>
        <w:t xml:space="preserve">real-time per-operator/per-stage visibility, 3D/AR quality inspection, operator mobile app, work-order lifecycle, versioned routings.</w:t>
      </w:r>
    </w:p>
    <w:p>
      <w:pPr>
        <w:pStyle w:val="ListParagraph"/>
        <w:numPr>
          <w:ilvl w:val="0"/>
          <w:numId w:val="2"/>
        </w:numPr>
        <w:spacing w:after="70" w:line="268"/>
      </w:pPr>
      <w:r>
        <w:rPr>
          <w:b/>
          <w:bCs/>
          <w:color w:val="0E1A2B"/>
          <w:sz w:val="22"/>
          <w:szCs w:val="22"/>
        </w:rPr>
        <w:t xml:space="preserve">Do show, don’t tell — </w:t>
      </w:r>
      <w:r>
        <w:rPr>
          <w:color w:val="1F2937"/>
          <w:sz w:val="22"/>
          <w:szCs w:val="22"/>
        </w:rPr>
        <w:t xml:space="preserve">seed the demo with a realistic, populated floor and a real assembly model; never show all-zero dashboards to a prospect.</w:t>
      </w:r>
    </w:p>
    <w:p>
      <w:pPr>
        <w:spacing w:after="80"/>
      </w:pPr>
      <w:r>
        <w:t xml:space="preserve"/>
      </w:r>
    </w:p>
    <w:p>
      <w:pPr>
        <w:pBdr>
          <w:top w:val="single" w:color="D7DEE8" w:sz="8" w:space="6"/>
        </w:pBdr>
        <w:spacing w:before="100"/>
      </w:pPr>
      <w:r>
        <w:rPr>
          <w:i/>
          <w:iCs/>
          <w:color w:val="566071"/>
          <w:sz w:val="18"/>
          <w:szCs w:val="18"/>
        </w:rPr>
        <w:t xml:space="preserve">Sources: MES market data and shop-floor pain points from MarketsandMarkets, Fortune Business Insights, MIE Solutions, EZIIL, Global Shop Solutions, Fulcrum, MachineMetrics, Humble Operations (June 2026). Product capabilities from the SpadeBloom repository (ARCHITECTURE.md and the factory-floor capability assessment).</w:t>
      </w:r>
    </w:p>
    <w:sectPr>
      <w:footerReference w:type="default" r:id="rId7"/>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6"/>
      </w:pBdr>
      <w:tabs>
        <w:tab w:val="right" w:pos="9360"/>
      </w:tabs>
    </w:pPr>
    <w:r>
      <w:rPr>
        <w:color w:val="566071"/>
        <w:sz w:val="16"/>
        <w:szCs w:val="16"/>
      </w:rPr>
      <w:t xml:space="preserve">SpadeBloom  ·  GTM &amp; Positioning Brief  ·  Confidential</w:t>
    </w:r>
    <w:r>
      <w:rPr>
        <w:color w:val="566071"/>
        <w:sz w:val="16"/>
        <w:szCs w:val="16"/>
      </w:rPr>
      <w:t xml:space="preserve">	</w:t>
    </w:r>
    <w:r>
      <w:rPr>
        <w:color w:val="566071"/>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E1A2B"/>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SpadeBloom — GTM &amp; Positioning Brief</dc:title>
  <dc:creator>SpadeBloom</dc:creator>
  <cp:lastModifiedBy>Un-named</cp:lastModifiedBy>
  <cp:revision>1</cp:revision>
  <dcterms:created xsi:type="dcterms:W3CDTF">2026-06-06T19:16:46.241Z</dcterms:created>
  <dcterms:modified xsi:type="dcterms:W3CDTF">2026-06-06T19:16:46.241Z</dcterms:modified>
</cp:coreProperties>
</file>

<file path=docProps/custom.xml><?xml version="1.0" encoding="utf-8"?>
<Properties xmlns="http://schemas.openxmlformats.org/officeDocument/2006/custom-properties" xmlns:vt="http://schemas.openxmlformats.org/officeDocument/2006/docPropsVTypes"/>
</file>