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color w:val="1F3A2D"/>
          <w:sz w:val="38"/>
          <w:szCs w:val="38"/>
        </w:rPr>
        <w:t xml:space="preserve">SYSTEM ARCHITECTURE AND DESIGN REPORT</w:t>
      </w:r>
    </w:p>
    <w:p>
      <w:pPr>
        <w:spacing w:after="700"/>
        <w:jc w:val="center"/>
      </w:pPr>
      <w:r>
        <w:rPr>
          <w:b/>
          <w:bCs/>
          <w:color w:val="2E7D4F"/>
          <w:sz w:val="26"/>
          <w:szCs w:val="26"/>
        </w:rPr>
        <w:t xml:space="preserve">AgriConnect: Technical Architecture for a Digital Agribusiness Platform</w:t>
      </w:r>
    </w:p>
    <w:p>
      <w:pPr>
        <w:spacing w:after="120"/>
        <w:jc w:val="center"/>
      </w:pPr>
      <w:r>
        <w:rPr>
          <w:sz w:val="24"/>
          <w:szCs w:val="24"/>
        </w:rPr>
        <w:t xml:space="preserve">Junior Software Developer – Agribusiness Solution Internship</w:t>
      </w:r>
    </w:p>
    <w:p>
      <w:pPr>
        <w:spacing w:after="900"/>
        <w:jc w:val="center"/>
      </w:pPr>
      <w:r>
        <w:rPr>
          <w:i/>
          <w:iCs/>
          <w:sz w:val="24"/>
          <w:szCs w:val="24"/>
        </w:rPr>
        <w:t xml:space="preserve">Week 2 Task: System Architecture and Design</w:t>
      </w:r>
    </w:p>
    <w:p>
      <w:pPr>
        <w:spacing w:after="80"/>
        <w:jc w:val="center"/>
      </w:pPr>
      <w:r>
        <w:rPr>
          <w:sz w:val="22"/>
          <w:szCs w:val="22"/>
        </w:rPr>
        <w:t xml:space="preserve">Prepared by: Akash Srivastav</w:t>
      </w:r>
    </w:p>
    <w:p>
      <w:pPr>
        <w:spacing w:after="80"/>
        <w:jc w:val="center"/>
      </w:pPr>
      <w:r>
        <w:rPr>
          <w:sz w:val="22"/>
          <w:szCs w:val="22"/>
        </w:rPr>
        <w:t xml:space="preserve">Internship Platform: YuvaIntern (NSDC)</w:t>
      </w:r>
    </w:p>
    <w:p>
      <w:pPr>
        <w:jc w:val="center"/>
      </w:pPr>
      <w:r>
        <w:rPr>
          <w:sz w:val="22"/>
          <w:szCs w:val="22"/>
        </w:rPr>
        <w:t xml:space="preserve">Date of Submission: 25 September 2026</w:t>
      </w:r>
    </w:p>
    <w:p>
      <w:r>
        <w:br w:type="page"/>
      </w:r>
    </w:p>
    <w:p>
      <w:pPr>
        <w:pStyle w:val="Heading1"/>
        <w:spacing w:after="180" w:before="360"/>
      </w:pPr>
      <w:r>
        <w:t xml:space="preserve">Table of Contents</w:t>
      </w:r>
    </w:p>
    <w:p>
      <w:pPr>
        <w:tabs>
          <w:tab w:val="right" w:pos="9350" w:leader="dot"/>
        </w:tabs>
        <w:spacing w:after="120"/>
      </w:pPr>
      <w:r>
        <w:rPr>
          <w:b/>
          <w:bCs/>
          <w:color w:val="1F3A2D"/>
          <w:sz w:val="22"/>
          <w:szCs w:val="22"/>
        </w:rPr>
        <w:t xml:space="preserve">1. Introduction</w:t>
      </w:r>
      <w:r>
        <w:rPr>
          <w:sz w:val="22"/>
          <w:szCs w:val="22"/>
        </w:rPr>
        <w:t xml:space="preserve">	3</w:t>
      </w:r>
    </w:p>
    <w:p>
      <w:pPr>
        <w:tabs>
          <w:tab w:val="right" w:pos="9350" w:leader="dot"/>
        </w:tabs>
        <w:spacing w:after="80"/>
        <w:ind w:left="420"/>
      </w:pPr>
      <w:r>
        <w:rPr>
          <w:b w:val="false"/>
          <w:bCs w:val="false"/>
          <w:color w:val="222222"/>
          <w:sz w:val="20"/>
          <w:szCs w:val="20"/>
        </w:rPr>
        <w:t xml:space="preserve">1.1 Recap of Week 1</w:t>
      </w:r>
      <w:r>
        <w:rPr>
          <w:sz w:val="20"/>
          <w:szCs w:val="20"/>
        </w:rPr>
        <w:t xml:space="preserve">	3</w:t>
      </w:r>
    </w:p>
    <w:p>
      <w:pPr>
        <w:tabs>
          <w:tab w:val="right" w:pos="9350" w:leader="dot"/>
        </w:tabs>
        <w:spacing w:after="80"/>
        <w:ind w:left="420"/>
      </w:pPr>
      <w:r>
        <w:rPr>
          <w:b w:val="false"/>
          <w:bCs w:val="false"/>
          <w:color w:val="222222"/>
          <w:sz w:val="20"/>
          <w:szCs w:val="20"/>
        </w:rPr>
        <w:t xml:space="preserve">1.2 Purpose of this Document</w:t>
      </w:r>
      <w:r>
        <w:rPr>
          <w:sz w:val="20"/>
          <w:szCs w:val="20"/>
        </w:rPr>
        <w:t xml:space="preserve">	3</w:t>
      </w:r>
    </w:p>
    <w:p>
      <w:pPr>
        <w:tabs>
          <w:tab w:val="right" w:pos="9350" w:leader="dot"/>
        </w:tabs>
        <w:spacing w:after="80"/>
        <w:ind w:left="420"/>
      </w:pPr>
      <w:r>
        <w:rPr>
          <w:b w:val="false"/>
          <w:bCs w:val="false"/>
          <w:color w:val="222222"/>
          <w:sz w:val="20"/>
          <w:szCs w:val="20"/>
        </w:rPr>
        <w:t xml:space="preserve">1.3 Scope</w:t>
      </w:r>
      <w:r>
        <w:rPr>
          <w:sz w:val="20"/>
          <w:szCs w:val="20"/>
        </w:rPr>
        <w:t xml:space="preserve">	3</w:t>
      </w:r>
    </w:p>
    <w:p>
      <w:pPr>
        <w:tabs>
          <w:tab w:val="right" w:pos="9350" w:leader="dot"/>
        </w:tabs>
        <w:spacing w:after="80"/>
        <w:ind w:left="420"/>
      </w:pPr>
      <w:r>
        <w:rPr>
          <w:b w:val="false"/>
          <w:bCs w:val="false"/>
          <w:color w:val="222222"/>
          <w:sz w:val="20"/>
          <w:szCs w:val="20"/>
        </w:rPr>
        <w:t xml:space="preserve">1.4 Architectural Goals &amp; Design Principles</w:t>
      </w:r>
      <w:r>
        <w:rPr>
          <w:sz w:val="20"/>
          <w:szCs w:val="20"/>
        </w:rPr>
        <w:t xml:space="preserve">	3</w:t>
      </w:r>
    </w:p>
    <w:p>
      <w:pPr>
        <w:tabs>
          <w:tab w:val="right" w:pos="9350" w:leader="dot"/>
        </w:tabs>
        <w:spacing w:after="120"/>
      </w:pPr>
      <w:r>
        <w:rPr>
          <w:b/>
          <w:bCs/>
          <w:color w:val="1F3A2D"/>
          <w:sz w:val="22"/>
          <w:szCs w:val="22"/>
        </w:rPr>
        <w:t xml:space="preserve">2. Research: Real-World Grounding and Architectural Patterns</w:t>
      </w:r>
      <w:r>
        <w:rPr>
          <w:sz w:val="22"/>
          <w:szCs w:val="22"/>
        </w:rPr>
        <w:t xml:space="preserve">	4</w:t>
      </w:r>
    </w:p>
    <w:p>
      <w:pPr>
        <w:tabs>
          <w:tab w:val="right" w:pos="9350" w:leader="dot"/>
        </w:tabs>
        <w:spacing w:after="80"/>
        <w:ind w:left="420"/>
      </w:pPr>
      <w:r>
        <w:rPr>
          <w:b w:val="false"/>
          <w:bCs w:val="false"/>
          <w:color w:val="222222"/>
          <w:sz w:val="20"/>
          <w:szCs w:val="20"/>
        </w:rPr>
        <w:t xml:space="preserve">2.1 Case Study: India's National Agriculture Market (e-NAM)</w:t>
      </w:r>
      <w:r>
        <w:rPr>
          <w:sz w:val="20"/>
          <w:szCs w:val="20"/>
        </w:rPr>
        <w:t xml:space="preserve">	4</w:t>
      </w:r>
    </w:p>
    <w:p>
      <w:pPr>
        <w:tabs>
          <w:tab w:val="right" w:pos="9350" w:leader="dot"/>
        </w:tabs>
        <w:spacing w:after="80"/>
        <w:ind w:left="420"/>
      </w:pPr>
      <w:r>
        <w:rPr>
          <w:b w:val="false"/>
          <w:bCs w:val="false"/>
          <w:color w:val="222222"/>
          <w:sz w:val="20"/>
          <w:szCs w:val="20"/>
        </w:rPr>
        <w:t xml:space="preserve">2.2 Connectivity Constraints</w:t>
      </w:r>
      <w:r>
        <w:rPr>
          <w:sz w:val="20"/>
          <w:szCs w:val="20"/>
        </w:rPr>
        <w:t xml:space="preserve">	4</w:t>
      </w:r>
    </w:p>
    <w:p>
      <w:pPr>
        <w:tabs>
          <w:tab w:val="right" w:pos="9350" w:leader="dot"/>
        </w:tabs>
        <w:spacing w:after="80"/>
        <w:ind w:left="420"/>
      </w:pPr>
      <w:r>
        <w:rPr>
          <w:b w:val="false"/>
          <w:bCs w:val="false"/>
          <w:color w:val="222222"/>
          <w:sz w:val="20"/>
          <w:szCs w:val="20"/>
        </w:rPr>
        <w:t xml:space="preserve">2.3 Digital Payments Context</w:t>
      </w:r>
      <w:r>
        <w:rPr>
          <w:sz w:val="20"/>
          <w:szCs w:val="20"/>
        </w:rPr>
        <w:t xml:space="preserve">	5</w:t>
      </w:r>
    </w:p>
    <w:p>
      <w:pPr>
        <w:tabs>
          <w:tab w:val="right" w:pos="9350" w:leader="dot"/>
        </w:tabs>
        <w:spacing w:after="80"/>
        <w:ind w:left="420"/>
      </w:pPr>
      <w:r>
        <w:rPr>
          <w:b w:val="false"/>
          <w:bCs w:val="false"/>
          <w:color w:val="222222"/>
          <w:sz w:val="20"/>
          <w:szCs w:val="20"/>
        </w:rPr>
        <w:t xml:space="preserve">2.4 General Architectural Patterns</w:t>
      </w:r>
      <w:r>
        <w:rPr>
          <w:sz w:val="20"/>
          <w:szCs w:val="20"/>
        </w:rPr>
        <w:t xml:space="preserve">	5</w:t>
      </w:r>
    </w:p>
    <w:p>
      <w:pPr>
        <w:tabs>
          <w:tab w:val="right" w:pos="9350" w:leader="dot"/>
        </w:tabs>
        <w:spacing w:after="120"/>
      </w:pPr>
      <w:r>
        <w:rPr>
          <w:b/>
          <w:bCs/>
          <w:color w:val="1F3A2D"/>
          <w:sz w:val="22"/>
          <w:szCs w:val="22"/>
        </w:rPr>
        <w:t xml:space="preserve">3. High-Level System Architecture</w:t>
      </w:r>
      <w:r>
        <w:rPr>
          <w:sz w:val="22"/>
          <w:szCs w:val="22"/>
        </w:rPr>
        <w:t xml:space="preserve">	6</w:t>
      </w:r>
    </w:p>
    <w:p>
      <w:pPr>
        <w:tabs>
          <w:tab w:val="right" w:pos="9350" w:leader="dot"/>
        </w:tabs>
        <w:spacing w:after="120"/>
      </w:pPr>
      <w:r>
        <w:rPr>
          <w:b/>
          <w:bCs/>
          <w:color w:val="1F3A2D"/>
          <w:sz w:val="22"/>
          <w:szCs w:val="22"/>
        </w:rPr>
        <w:t xml:space="preserve">4. Component Identification &amp; Responsibilities</w:t>
      </w:r>
      <w:r>
        <w:rPr>
          <w:sz w:val="22"/>
          <w:szCs w:val="22"/>
        </w:rPr>
        <w:t xml:space="preserve">	7</w:t>
      </w:r>
    </w:p>
    <w:p>
      <w:pPr>
        <w:tabs>
          <w:tab w:val="right" w:pos="9350" w:leader="dot"/>
        </w:tabs>
        <w:spacing w:after="120"/>
      </w:pPr>
      <w:r>
        <w:rPr>
          <w:b/>
          <w:bCs/>
          <w:color w:val="1F3A2D"/>
          <w:sz w:val="22"/>
          <w:szCs w:val="22"/>
        </w:rPr>
        <w:t xml:space="preserve">5. Detailed Module Design</w:t>
      </w:r>
      <w:r>
        <w:rPr>
          <w:sz w:val="22"/>
          <w:szCs w:val="22"/>
        </w:rPr>
        <w:t xml:space="preserve">	8</w:t>
      </w:r>
    </w:p>
    <w:p>
      <w:pPr>
        <w:tabs>
          <w:tab w:val="right" w:pos="9350" w:leader="dot"/>
        </w:tabs>
        <w:spacing w:after="80"/>
        <w:ind w:left="420"/>
      </w:pPr>
      <w:r>
        <w:rPr>
          <w:b w:val="false"/>
          <w:bCs w:val="false"/>
          <w:color w:val="222222"/>
          <w:sz w:val="20"/>
          <w:szCs w:val="20"/>
        </w:rPr>
        <w:t xml:space="preserve">5.1 User &amp; Auth Service</w:t>
      </w:r>
      <w:r>
        <w:rPr>
          <w:sz w:val="20"/>
          <w:szCs w:val="20"/>
        </w:rPr>
        <w:t xml:space="preserve">	8</w:t>
      </w:r>
    </w:p>
    <w:p>
      <w:pPr>
        <w:tabs>
          <w:tab w:val="right" w:pos="9350" w:leader="dot"/>
        </w:tabs>
        <w:spacing w:after="80"/>
        <w:ind w:left="420"/>
      </w:pPr>
      <w:r>
        <w:rPr>
          <w:b w:val="false"/>
          <w:bCs w:val="false"/>
          <w:color w:val="222222"/>
          <w:sz w:val="20"/>
          <w:szCs w:val="20"/>
        </w:rPr>
        <w:t xml:space="preserve">5.2 Crop Listing &amp; Inventory Service</w:t>
      </w:r>
      <w:r>
        <w:rPr>
          <w:sz w:val="20"/>
          <w:szCs w:val="20"/>
        </w:rPr>
        <w:t xml:space="preserve">	8</w:t>
      </w:r>
    </w:p>
    <w:p>
      <w:pPr>
        <w:tabs>
          <w:tab w:val="right" w:pos="9350" w:leader="dot"/>
        </w:tabs>
        <w:spacing w:after="80"/>
        <w:ind w:left="420"/>
      </w:pPr>
      <w:r>
        <w:rPr>
          <w:b w:val="false"/>
          <w:bCs w:val="false"/>
          <w:color w:val="222222"/>
          <w:sz w:val="20"/>
          <w:szCs w:val="20"/>
        </w:rPr>
        <w:t xml:space="preserve">5.3 Market Price Engine</w:t>
      </w:r>
      <w:r>
        <w:rPr>
          <w:sz w:val="20"/>
          <w:szCs w:val="20"/>
        </w:rPr>
        <w:t xml:space="preserve">	9</w:t>
      </w:r>
    </w:p>
    <w:p>
      <w:pPr>
        <w:tabs>
          <w:tab w:val="right" w:pos="9350" w:leader="dot"/>
        </w:tabs>
        <w:spacing w:after="80"/>
        <w:ind w:left="420"/>
      </w:pPr>
      <w:r>
        <w:rPr>
          <w:b w:val="false"/>
          <w:bCs w:val="false"/>
          <w:color w:val="222222"/>
          <w:sz w:val="20"/>
          <w:szCs w:val="20"/>
        </w:rPr>
        <w:t xml:space="preserve">5.4 Order &amp; Logistics Service</w:t>
      </w:r>
      <w:r>
        <w:rPr>
          <w:sz w:val="20"/>
          <w:szCs w:val="20"/>
        </w:rPr>
        <w:t xml:space="preserve">	9</w:t>
      </w:r>
    </w:p>
    <w:p>
      <w:pPr>
        <w:tabs>
          <w:tab w:val="right" w:pos="9350" w:leader="dot"/>
        </w:tabs>
        <w:spacing w:after="80"/>
        <w:ind w:left="420"/>
      </w:pPr>
      <w:r>
        <w:rPr>
          <w:b w:val="false"/>
          <w:bCs w:val="false"/>
          <w:color w:val="222222"/>
          <w:sz w:val="20"/>
          <w:szCs w:val="20"/>
        </w:rPr>
        <w:t xml:space="preserve">5.5 Notification Service</w:t>
      </w:r>
      <w:r>
        <w:rPr>
          <w:sz w:val="20"/>
          <w:szCs w:val="20"/>
        </w:rPr>
        <w:t xml:space="preserve">	10</w:t>
      </w:r>
    </w:p>
    <w:p>
      <w:pPr>
        <w:tabs>
          <w:tab w:val="right" w:pos="9350" w:leader="dot"/>
        </w:tabs>
        <w:spacing w:after="80"/>
        <w:ind w:left="420"/>
      </w:pPr>
      <w:r>
        <w:rPr>
          <w:b w:val="false"/>
          <w:bCs w:val="false"/>
          <w:color w:val="222222"/>
          <w:sz w:val="20"/>
          <w:szCs w:val="20"/>
        </w:rPr>
        <w:t xml:space="preserve">5.6 Analytics &amp; Reporting Service</w:t>
      </w:r>
      <w:r>
        <w:rPr>
          <w:sz w:val="20"/>
          <w:szCs w:val="20"/>
        </w:rPr>
        <w:t xml:space="preserve">	10</w:t>
      </w:r>
    </w:p>
    <w:p>
      <w:pPr>
        <w:tabs>
          <w:tab w:val="right" w:pos="9350" w:leader="dot"/>
        </w:tabs>
        <w:spacing w:after="120"/>
      </w:pPr>
      <w:r>
        <w:rPr>
          <w:b/>
          <w:bCs/>
          <w:color w:val="1F3A2D"/>
          <w:sz w:val="22"/>
          <w:szCs w:val="22"/>
        </w:rPr>
        <w:t xml:space="preserve">6. Data Model Overview</w:t>
      </w:r>
      <w:r>
        <w:rPr>
          <w:sz w:val="22"/>
          <w:szCs w:val="22"/>
        </w:rPr>
        <w:t xml:space="preserve">	10</w:t>
      </w:r>
    </w:p>
    <w:p>
      <w:pPr>
        <w:tabs>
          <w:tab w:val="right" w:pos="9350" w:leader="dot"/>
        </w:tabs>
        <w:spacing w:after="120"/>
      </w:pPr>
      <w:r>
        <w:rPr>
          <w:b/>
          <w:bCs/>
          <w:color w:val="1F3A2D"/>
          <w:sz w:val="22"/>
          <w:szCs w:val="22"/>
        </w:rPr>
        <w:t xml:space="preserve">7. Sequence Diagram: Place Order Flow</w:t>
      </w:r>
      <w:r>
        <w:rPr>
          <w:sz w:val="22"/>
          <w:szCs w:val="22"/>
        </w:rPr>
        <w:t xml:space="preserve">	11</w:t>
      </w:r>
    </w:p>
    <w:p>
      <w:pPr>
        <w:tabs>
          <w:tab w:val="right" w:pos="9350" w:leader="dot"/>
        </w:tabs>
        <w:spacing w:after="120"/>
      </w:pPr>
      <w:r>
        <w:rPr>
          <w:b/>
          <w:bCs/>
          <w:color w:val="1F3A2D"/>
          <w:sz w:val="22"/>
          <w:szCs w:val="22"/>
        </w:rPr>
        <w:t xml:space="preserve">8. Deployment Architecture</w:t>
      </w:r>
      <w:r>
        <w:rPr>
          <w:sz w:val="22"/>
          <w:szCs w:val="22"/>
        </w:rPr>
        <w:t xml:space="preserve">	12</w:t>
      </w:r>
    </w:p>
    <w:p>
      <w:pPr>
        <w:tabs>
          <w:tab w:val="right" w:pos="9350" w:leader="dot"/>
        </w:tabs>
        <w:spacing w:after="120"/>
      </w:pPr>
      <w:r>
        <w:rPr>
          <w:b/>
          <w:bCs/>
          <w:color w:val="1F3A2D"/>
          <w:sz w:val="22"/>
          <w:szCs w:val="22"/>
        </w:rPr>
        <w:t xml:space="preserve">9. Design Rationale</w:t>
      </w:r>
      <w:r>
        <w:rPr>
          <w:sz w:val="22"/>
          <w:szCs w:val="22"/>
        </w:rPr>
        <w:t xml:space="preserve">	14</w:t>
      </w:r>
    </w:p>
    <w:p>
      <w:pPr>
        <w:tabs>
          <w:tab w:val="right" w:pos="9350" w:leader="dot"/>
        </w:tabs>
        <w:spacing w:after="80"/>
        <w:ind w:left="420"/>
      </w:pPr>
      <w:r>
        <w:rPr>
          <w:b w:val="false"/>
          <w:bCs w:val="false"/>
          <w:color w:val="222222"/>
          <w:sz w:val="20"/>
          <w:szCs w:val="20"/>
        </w:rPr>
        <w:t xml:space="preserve">9.1 Scalability</w:t>
      </w:r>
      <w:r>
        <w:rPr>
          <w:sz w:val="20"/>
          <w:szCs w:val="20"/>
        </w:rPr>
        <w:t xml:space="preserve">	14</w:t>
      </w:r>
    </w:p>
    <w:p>
      <w:pPr>
        <w:tabs>
          <w:tab w:val="right" w:pos="9350" w:leader="dot"/>
        </w:tabs>
        <w:spacing w:after="80"/>
        <w:ind w:left="420"/>
      </w:pPr>
      <w:r>
        <w:rPr>
          <w:b w:val="false"/>
          <w:bCs w:val="false"/>
          <w:color w:val="222222"/>
          <w:sz w:val="20"/>
          <w:szCs w:val="20"/>
        </w:rPr>
        <w:t xml:space="preserve">9.2 Security</w:t>
      </w:r>
      <w:r>
        <w:rPr>
          <w:sz w:val="20"/>
          <w:szCs w:val="20"/>
        </w:rPr>
        <w:t xml:space="preserve">	14</w:t>
      </w:r>
    </w:p>
    <w:p>
      <w:pPr>
        <w:tabs>
          <w:tab w:val="right" w:pos="9350" w:leader="dot"/>
        </w:tabs>
        <w:spacing w:after="80"/>
        <w:ind w:left="420"/>
      </w:pPr>
      <w:r>
        <w:rPr>
          <w:b w:val="false"/>
          <w:bCs w:val="false"/>
          <w:color w:val="222222"/>
          <w:sz w:val="20"/>
          <w:szCs w:val="20"/>
        </w:rPr>
        <w:t xml:space="preserve">9.3 Modularity</w:t>
      </w:r>
      <w:r>
        <w:rPr>
          <w:sz w:val="20"/>
          <w:szCs w:val="20"/>
        </w:rPr>
        <w:t xml:space="preserve">	14</w:t>
      </w:r>
    </w:p>
    <w:p>
      <w:pPr>
        <w:tabs>
          <w:tab w:val="right" w:pos="9350" w:leader="dot"/>
        </w:tabs>
        <w:spacing w:after="120"/>
      </w:pPr>
      <w:r>
        <w:rPr>
          <w:b/>
          <w:bCs/>
          <w:color w:val="1F3A2D"/>
          <w:sz w:val="22"/>
          <w:szCs w:val="22"/>
        </w:rPr>
        <w:t xml:space="preserve">10. Technology Stack Recommendations</w:t>
      </w:r>
      <w:r>
        <w:rPr>
          <w:sz w:val="22"/>
          <w:szCs w:val="22"/>
        </w:rPr>
        <w:t xml:space="preserve">	14</w:t>
      </w:r>
    </w:p>
    <w:p>
      <w:pPr>
        <w:tabs>
          <w:tab w:val="right" w:pos="9350" w:leader="dot"/>
        </w:tabs>
        <w:spacing w:after="120"/>
      </w:pPr>
      <w:r>
        <w:rPr>
          <w:b/>
          <w:bCs/>
          <w:color w:val="1F3A2D"/>
          <w:sz w:val="22"/>
          <w:szCs w:val="22"/>
        </w:rPr>
        <w:t xml:space="preserve">11. Non-Functional Requirements Traceability</w:t>
      </w:r>
      <w:r>
        <w:rPr>
          <w:sz w:val="22"/>
          <w:szCs w:val="22"/>
        </w:rPr>
        <w:t xml:space="preserve">	15</w:t>
      </w:r>
    </w:p>
    <w:p>
      <w:pPr>
        <w:tabs>
          <w:tab w:val="right" w:pos="9350" w:leader="dot"/>
        </w:tabs>
        <w:spacing w:after="120"/>
      </w:pPr>
      <w:r>
        <w:rPr>
          <w:b/>
          <w:bCs/>
          <w:color w:val="1F3A2D"/>
          <w:sz w:val="22"/>
          <w:szCs w:val="22"/>
        </w:rPr>
        <w:t xml:space="preserve">12. Assumptions, Constraints &amp; Limitations</w:t>
      </w:r>
      <w:r>
        <w:rPr>
          <w:sz w:val="22"/>
          <w:szCs w:val="22"/>
        </w:rPr>
        <w:t xml:space="preserve">	16</w:t>
      </w:r>
    </w:p>
    <w:p>
      <w:pPr>
        <w:tabs>
          <w:tab w:val="right" w:pos="9350" w:leader="dot"/>
        </w:tabs>
        <w:spacing w:after="80"/>
        <w:ind w:left="420"/>
      </w:pPr>
      <w:r>
        <w:rPr>
          <w:b w:val="false"/>
          <w:bCs w:val="false"/>
          <w:color w:val="222222"/>
          <w:sz w:val="20"/>
          <w:szCs w:val="20"/>
        </w:rPr>
        <w:t xml:space="preserve">12.1 Assumptions</w:t>
      </w:r>
      <w:r>
        <w:rPr>
          <w:sz w:val="20"/>
          <w:szCs w:val="20"/>
        </w:rPr>
        <w:t xml:space="preserve">	16</w:t>
      </w:r>
    </w:p>
    <w:p>
      <w:pPr>
        <w:tabs>
          <w:tab w:val="right" w:pos="9350" w:leader="dot"/>
        </w:tabs>
        <w:spacing w:after="80"/>
        <w:ind w:left="420"/>
      </w:pPr>
      <w:r>
        <w:rPr>
          <w:b w:val="false"/>
          <w:bCs w:val="false"/>
          <w:color w:val="222222"/>
          <w:sz w:val="20"/>
          <w:szCs w:val="20"/>
        </w:rPr>
        <w:t xml:space="preserve">12.2 Constraints</w:t>
      </w:r>
      <w:r>
        <w:rPr>
          <w:sz w:val="20"/>
          <w:szCs w:val="20"/>
        </w:rPr>
        <w:t xml:space="preserve">	16</w:t>
      </w:r>
    </w:p>
    <w:p>
      <w:pPr>
        <w:tabs>
          <w:tab w:val="right" w:pos="9350" w:leader="dot"/>
        </w:tabs>
        <w:spacing w:after="80"/>
        <w:ind w:left="420"/>
      </w:pPr>
      <w:r>
        <w:rPr>
          <w:b w:val="false"/>
          <w:bCs w:val="false"/>
          <w:color w:val="222222"/>
          <w:sz w:val="20"/>
          <w:szCs w:val="20"/>
        </w:rPr>
        <w:t xml:space="preserve">12.3 Limitations &amp; Future Considerations</w:t>
      </w:r>
      <w:r>
        <w:rPr>
          <w:sz w:val="20"/>
          <w:szCs w:val="20"/>
        </w:rPr>
        <w:t xml:space="preserve">	16</w:t>
      </w:r>
    </w:p>
    <w:p>
      <w:pPr>
        <w:tabs>
          <w:tab w:val="right" w:pos="9350" w:leader="dot"/>
        </w:tabs>
        <w:spacing w:after="120"/>
      </w:pPr>
      <w:r>
        <w:rPr>
          <w:b/>
          <w:bCs/>
          <w:color w:val="1F3A2D"/>
          <w:sz w:val="22"/>
          <w:szCs w:val="22"/>
        </w:rPr>
        <w:t xml:space="preserve">13. Conclusion</w:t>
      </w:r>
      <w:r>
        <w:rPr>
          <w:sz w:val="22"/>
          <w:szCs w:val="22"/>
        </w:rPr>
        <w:t xml:space="preserve">	17</w:t>
      </w:r>
    </w:p>
    <w:p>
      <w:pPr>
        <w:pStyle w:val="Heading1"/>
        <w:pageBreakBefore/>
        <w:spacing w:after="180" w:before="360"/>
      </w:pPr>
      <w:r>
        <w:t xml:space="preserve">1. Introduction</w:t>
      </w:r>
    </w:p>
    <w:p>
      <w:pPr>
        <w:pStyle w:val="Heading2"/>
        <w:spacing w:after="140" w:before="260"/>
      </w:pPr>
      <w:r>
        <w:t xml:space="preserve">1.1 Recap of Week 1</w:t>
      </w:r>
    </w:p>
    <w:p>
      <w:pPr>
        <w:spacing w:after="160" w:line="300"/>
      </w:pPr>
      <w:r>
        <w:t xml:space="preserve">The Week 1 Requirements Analysis Report established the foundation for AgriConnect, a digital marketplace and advisory platform connecting farmers, distributors, retailers, logistics partners, and platform administrators. That report identified seven stakeholder groups, ten sector-wide challenges, twelve user stories, four detailed use cases, twenty-seven functional requirements, and twelve non-functional requirements, organised across six functional modules: User Management, Crop Listing &amp; Inventory, Market Price Engine, Order &amp; Logistics, Notifications, and Administration &amp; Analytics.</w:t>
      </w:r>
    </w:p>
    <w:p>
      <w:pPr>
        <w:spacing w:after="160" w:line="300"/>
      </w:pPr>
      <w:r>
        <w:t xml:space="preserve">This Week 2 report takes that requirements catalogue as its starting point and translates it into a concrete, implementable system architecture.</w:t>
      </w:r>
    </w:p>
    <w:p>
      <w:pPr>
        <w:pStyle w:val="Heading2"/>
        <w:spacing w:after="140" w:before="260"/>
      </w:pPr>
      <w:r>
        <w:t xml:space="preserve">1.2 Purpose of this Document</w:t>
      </w:r>
    </w:p>
    <w:p>
      <w:pPr>
        <w:spacing w:after="160" w:line="300"/>
      </w:pPr>
      <w:r>
        <w:t xml:space="preserve">This document defines the technical architecture for AgriConnect: the system's major components, how they interact, how data flows through the system for a representative transaction, how the system is deployed and operated, and the technology choices that support the scalability, security, and modularity goals set out below. It is intended to guide the Week 3 Module Development task, in which selected components will be implemented.</w:t>
      </w:r>
    </w:p>
    <w:p>
      <w:pPr>
        <w:pStyle w:val="Heading2"/>
        <w:spacing w:after="140" w:before="260"/>
      </w:pPr>
      <w:r>
        <w:t xml:space="preserve">1.3 Scope</w:t>
      </w:r>
    </w:p>
    <w:p>
      <w:pPr>
        <w:spacing w:after="160" w:line="300"/>
      </w:pPr>
      <w:r>
        <w:t xml:space="preserve">This report covers the logical architecture (components and their responsibilities), a representative sequence diagram, the deployment and infrastructure topology, technology stack recommendations, and a traceability check against the Week 1 non-functional requirements. Detailed database schema definitions (DDL), infrastructure-as-code scripts, and full API specifications are intentionally out of scope here; these will be produced incrementally during Week 3 and Week 4 as specific modules are implemented.</w:t>
      </w:r>
    </w:p>
    <w:p>
      <w:pPr>
        <w:pStyle w:val="Heading2"/>
        <w:spacing w:after="140" w:before="260"/>
      </w:pPr>
      <w:r>
        <w:t xml:space="preserve">1.4 Architectural Goals &amp; Design Principles</w:t>
      </w:r>
    </w:p>
    <w:p>
      <w:pPr>
        <w:spacing w:after="160" w:line="300"/>
      </w:pPr>
      <w:r>
        <w:t xml:space="preserve">The following principles guided every design decision in this report:</w:t>
      </w:r>
    </w:p>
    <w:p>
      <w:pPr>
        <w:pStyle w:val="ListParagraph"/>
        <w:numPr>
          <w:ilvl w:val="0"/>
          <w:numId w:val="2"/>
        </w:numPr>
        <w:spacing w:after="90" w:line="280"/>
      </w:pPr>
      <w:r>
        <w:t xml:space="preserve">Scalability – the system must absorb sharp, predictable demand spikes during regional harvest windows without manual intervention.</w:t>
      </w:r>
    </w:p>
    <w:p>
      <w:pPr>
        <w:pStyle w:val="ListParagraph"/>
        <w:numPr>
          <w:ilvl w:val="0"/>
          <w:numId w:val="2"/>
        </w:numPr>
        <w:spacing w:after="90" w:line="280"/>
      </w:pPr>
      <w:r>
        <w:t xml:space="preserve">Security – financial transactions and personal data must be protected in transit and at rest, with access tightly scoped by role.</w:t>
      </w:r>
    </w:p>
    <w:p>
      <w:pPr>
        <w:pStyle w:val="ListParagraph"/>
        <w:numPr>
          <w:ilvl w:val="0"/>
          <w:numId w:val="2"/>
        </w:numPr>
        <w:spacing w:after="90" w:line="280"/>
      </w:pPr>
      <w:r>
        <w:t xml:space="preserve">Modularity – component boundaries should mirror the six functional modules from Week 1, so a change in business requirements maps cleanly to a single component.</w:t>
      </w:r>
    </w:p>
    <w:p>
      <w:pPr>
        <w:pStyle w:val="ListParagraph"/>
        <w:numPr>
          <w:ilvl w:val="0"/>
          <w:numId w:val="2"/>
        </w:numPr>
        <w:spacing w:after="90" w:line="280"/>
      </w:pPr>
      <w:r>
        <w:t xml:space="preserve">Reliability &amp; Availability – the platform must remain available during time-sensitive selling and pickup windows.</w:t>
      </w:r>
    </w:p>
    <w:p>
      <w:pPr>
        <w:pStyle w:val="ListParagraph"/>
        <w:numPr>
          <w:ilvl w:val="0"/>
          <w:numId w:val="2"/>
        </w:numPr>
        <w:spacing w:after="90" w:line="280"/>
      </w:pPr>
      <w:r>
        <w:t xml:space="preserve">Cost-efficiency – the architecture should suit an early-stage platform and a small engineering team, favouring managed services over bespoke infrastructure.</w:t>
      </w:r>
    </w:p>
    <w:p>
      <w:pPr>
        <w:pStyle w:val="ListParagraph"/>
        <w:numPr>
          <w:ilvl w:val="0"/>
          <w:numId w:val="2"/>
        </w:numPr>
        <w:spacing w:after="90" w:line="280"/>
      </w:pPr>
      <w:r>
        <w:t xml:space="preserve">Low-connectivity resilience – the design must tolerate intermittent rural network conditions on the client side.</w:t>
      </w:r>
    </w:p>
    <w:p>
      <w:pPr>
        <w:pStyle w:val="ListParagraph"/>
        <w:numPr>
          <w:ilvl w:val="0"/>
          <w:numId w:val="2"/>
        </w:numPr>
        <w:spacing w:after="90" w:line="280"/>
      </w:pPr>
      <w:r>
        <w:t xml:space="preserve">Interoperability – external systems (government price feeds, payment gateways, weather advisories) must be integrated without coupling their instability to core business logic.</w:t>
      </w:r>
    </w:p>
    <w:p>
      <w:pPr>
        <w:pStyle w:val="Heading1"/>
        <w:spacing w:after="180" w:before="360"/>
      </w:pPr>
      <w:r>
        <w:t xml:space="preserve">2. Research: Real-World Grounding and Architectural Patterns in Agritech</w:t>
      </w:r>
    </w:p>
    <w:p>
      <w:pPr>
        <w:spacing w:after="160" w:line="300"/>
      </w:pPr>
      <w:r>
        <w:t xml:space="preserve">Week 1's feedback asked for more concrete data and real-world reference points rather than general claims. This section grounds three of the architecture's key decisions — the price-data integration, the offline-tolerant client design, and the choice of payment rail — in a named, currently operating platform and recent public statistics, before summarising the general architectural patterns that follow from them.</w:t>
      </w:r>
    </w:p>
    <w:p>
      <w:pPr>
        <w:pStyle w:val="Heading2"/>
        <w:spacing w:after="140" w:before="260"/>
      </w:pPr>
      <w:r>
        <w:t xml:space="preserve">2.1 Case Study: India's National Agriculture Market (e-NAM)</w:t>
      </w:r>
    </w:p>
    <w:p>
      <w:pPr>
        <w:spacing w:after="160" w:line="300"/>
      </w:pPr>
      <w:r>
        <w:t xml:space="preserve">e-NAM (National Agriculture Market) is the Government of India's pan-India electronic trading portal for agricultural commodities, implemented by the Small Farmers Agribusiness Consortium (SFAC) under the Ministry of Agriculture and Farmers' Welfare. It is the closest real-world analogue to AgriConnect's Market Price Engine and crop-listing model, and its published statistics validate several of this report's design choices rather than leaving them as assumptions.</w:t>
      </w:r>
    </w:p>
    <w:p>
      <w:pPr>
        <w:pStyle w:val="ListParagraph"/>
        <w:numPr>
          <w:ilvl w:val="0"/>
          <w:numId w:val="2"/>
        </w:numPr>
        <w:spacing w:after="90" w:line="280"/>
      </w:pPr>
      <w:r>
        <w:t xml:space="preserve">Scale: the number of mandis integrated with e-NAM grew from 1,389 in 2024 to 1,656 as of March 2026, spanning 23 states and 4 union territories — evidence that a centralised government price feed is a viable, actively maintained integration target rather than a theoretical one.</w:t>
      </w:r>
    </w:p>
    <w:p>
      <w:pPr>
        <w:pStyle w:val="ListParagraph"/>
        <w:numPr>
          <w:ilvl w:val="0"/>
          <w:numId w:val="2"/>
        </w:numPr>
        <w:spacing w:after="90" w:line="280"/>
      </w:pPr>
      <w:r>
        <w:t xml:space="preserve">Coverage: as of December 2025, the platform provides free price information for 247 notified commodities, and reaches users through both a web portal and a dedicated mobile app (launched in 2016) — supporting this report's decision to treat the mobile client, not the web dashboard, as the primary interface for farmers.</w:t>
      </w:r>
    </w:p>
    <w:p>
      <w:pPr>
        <w:pStyle w:val="ListParagraph"/>
        <w:numPr>
          <w:ilvl w:val="0"/>
          <w:numId w:val="2"/>
        </w:numPr>
        <w:spacing w:after="90" w:line="280"/>
      </w:pPr>
      <w:r>
        <w:t xml:space="preserve">Interoperability model: in July 2022, e-NAM introduced a “Platform of Platforms” (PoP), allowing state and private agricultural e-marketplaces to interconnect with e-NAM through defined interfaces rather than each building siloed price infrastructure. This is the real-world precedent for the adapter pattern used throughout Section 4 to isolate every external integration — government price feed, payment gateway, weather API — behind a dedicated interface inside the owning service.</w:t>
      </w:r>
    </w:p>
    <w:p>
      <w:pPr>
        <w:spacing w:after="160" w:line="300"/>
      </w:pPr>
      <w:r>
        <w:t xml:space="preserve">Practical implication for AgriConnect: the Market Price Engine's Govt. Mandi API adapter (Section 4, Section 5.3) is designed to consume a feed structured like e-NAM's — or the underlying Agmarknet price database it draws from — rather than a bespoke schema, so that switching or adding a state-level price source later is a configuration change to one adapter, not a redesign.</w:t>
      </w:r>
    </w:p>
    <w:p>
      <w:pPr>
        <w:pStyle w:val="Heading2"/>
        <w:spacing w:after="140" w:before="260"/>
      </w:pPr>
      <w:r>
        <w:t xml:space="preserve">2.2 Connectivity Constraints (grounding NFR-1, NFR-5, NFR-11)</w:t>
      </w:r>
    </w:p>
    <w:p>
      <w:pPr>
        <w:spacing w:after="160" w:line="300"/>
      </w:pPr>
      <w:r>
        <w:t xml:space="preserve">The client-side design assumptions in Week 1 (NFR-1 performance, NFR-5 usability, NFR-11 offline tolerance) are grounded in current national connectivity data rather than a general assumption of “poor rural internet”:</w:t>
      </w:r>
    </w:p>
    <w:p>
      <w:pPr>
        <w:pStyle w:val="ListParagraph"/>
        <w:numPr>
          <w:ilvl w:val="0"/>
          <w:numId w:val="2"/>
        </w:numPr>
        <w:spacing w:after="90" w:line="280"/>
      </w:pPr>
      <w:r>
        <w:t xml:space="preserve">Per the Telecom Regulatory Authority of India (TRAI), approximately 95% of Indian villages now have 3G/4G coverage and nearly 80% have 5G coverage — so network coverage itself is largely solved.</w:t>
      </w:r>
    </w:p>
    <w:p>
      <w:pPr>
        <w:pStyle w:val="ListParagraph"/>
        <w:numPr>
          <w:ilvl w:val="0"/>
          <w:numId w:val="2"/>
        </w:numPr>
        <w:spacing w:after="90" w:line="280"/>
      </w:pPr>
      <w:r>
        <w:t xml:space="preserve">The remaining gap is adoption and connection quality, not availability: rural internet penetration stands at roughly 42.8% of the rural population (about 440.7 million rural internet users) against a higher urban figure, and India's smartphone base of over 1.14 billion is still growing toward a projected 1.5 billion.</w:t>
      </w:r>
    </w:p>
    <w:p>
      <w:pPr>
        <w:spacing w:after="160" w:line="300"/>
      </w:pPr>
      <w:r>
        <w:t xml:space="preserve">This distinction directly shapes the architecture: because coverage exists but session quality is inconsistent, the design favours client-side caching of recently viewed listings and prices (NFR-11) and a lightweight, low-bandwidth mobile client (NFR-5) over assuming an always-on, high-throughput connection — a subtly different problem than “no internet,” and one the caching and CDN layers in Section 3 are built to address.</w:t>
      </w:r>
    </w:p>
    <w:p>
      <w:pPr>
        <w:pStyle w:val="Heading2"/>
        <w:spacing w:after="140" w:before="260"/>
      </w:pPr>
      <w:r>
        <w:t xml:space="preserve">2.3 Digital Payments Context (grounding the payment gateway decision, Section 9.2)</w:t>
      </w:r>
    </w:p>
    <w:p>
      <w:pPr>
        <w:spacing w:after="160" w:line="300"/>
      </w:pPr>
      <w:r>
        <w:t xml:space="preserve">The decision to delegate all payment handling to a third-party gateway rather than process cards or bank transfers directly is grounded in the scale of India's Unified Payments Interface (UPI), operated by the National Payments Corporation of India (NPCI):</w:t>
      </w:r>
    </w:p>
    <w:p>
      <w:pPr>
        <w:pStyle w:val="ListParagraph"/>
        <w:numPr>
          <w:ilvl w:val="0"/>
          <w:numId w:val="2"/>
        </w:numPr>
        <w:spacing w:after="90" w:line="280"/>
      </w:pPr>
      <w:r>
        <w:t xml:space="preserve">UPI processed 23.2 billion transactions worth approximately ₹29.9 lakh crore in May 2026 alone, and now accounts for roughly 81–85% of the volume of India's retail digital payments.</w:t>
      </w:r>
    </w:p>
    <w:p>
      <w:pPr>
        <w:pStyle w:val="ListParagraph"/>
        <w:numPr>
          <w:ilvl w:val="0"/>
          <w:numId w:val="2"/>
        </w:numPr>
        <w:spacing w:after="90" w:line="280"/>
      </w:pPr>
      <w:r>
        <w:t xml:space="preserve">This scale means a UPI-enabled payment gateway is a mature, high-availability piece of national infrastructure — integrating with it is markedly lower-risk than building custom payment handling, and it keeps AgriConnect's own systems out of PCI-DSS card-data scope entirely (Section 9.2), since the Order &amp; Logistics Service stores only a gateway reference and status, never card or account details.</w:t>
      </w:r>
    </w:p>
    <w:p>
      <w:pPr>
        <w:pStyle w:val="Heading2"/>
        <w:spacing w:after="140" w:before="260"/>
      </w:pPr>
      <w:r>
        <w:t xml:space="preserve">2.4 General Architectural Patterns</w:t>
      </w:r>
    </w:p>
    <w:p>
      <w:pPr>
        <w:spacing w:after="160" w:line="300"/>
      </w:pPr>
      <w:r>
        <w:t xml:space="preserve">Beyond these three grounded decisions, this section draws on patterns common to agritech and other marketplace platforms operating under similar constraints:</w:t>
      </w:r>
    </w:p>
    <w:p>
      <w:pPr>
        <w:pStyle w:val="ListParagraph"/>
        <w:numPr>
          <w:ilvl w:val="0"/>
          <w:numId w:val="2"/>
        </w:numPr>
        <w:spacing w:after="90" w:line="280"/>
      </w:pPr>
      <w:r>
        <w:t xml:space="preserve">Seasonal load spikes – traffic and transaction volume rise sharply during regional harvest windows, requiring elastic rather than fixed capacity.</w:t>
      </w:r>
    </w:p>
    <w:p>
      <w:pPr>
        <w:pStyle w:val="ListParagraph"/>
        <w:numPr>
          <w:ilvl w:val="0"/>
          <w:numId w:val="2"/>
        </w:numPr>
        <w:spacing w:after="90" w:line="280"/>
      </w:pPr>
      <w:r>
        <w:t xml:space="preserve">Unreliable third-party integrations – government price APIs and similar public data sources are often rate-limited or intermittently unavailable, requiring defensive integration patterns.</w:t>
      </w:r>
    </w:p>
    <w:p>
      <w:pPr>
        <w:pStyle w:val="ListParagraph"/>
        <w:numPr>
          <w:ilvl w:val="0"/>
          <w:numId w:val="2"/>
        </w:numPr>
        <w:spacing w:after="90" w:line="280"/>
      </w:pPr>
      <w:r>
        <w:t xml:space="preserve">Intermittent client connectivity – rural users' devices may lose connectivity mid-session, requiring offline-tolerant client design and idempotent APIs.</w:t>
      </w:r>
    </w:p>
    <w:p>
      <w:pPr>
        <w:pStyle w:val="ListParagraph"/>
        <w:numPr>
          <w:ilvl w:val="0"/>
          <w:numId w:val="2"/>
        </w:numPr>
        <w:spacing w:after="90" w:line="280"/>
      </w:pPr>
      <w:r>
        <w:t xml:space="preserve">Payment security and compliance scope – handling payments directly would pull the platform into a heavy compliance burden; delegating card handling to a gateway keeps scope manageable.</w:t>
      </w:r>
    </w:p>
    <w:p>
      <w:pPr>
        <w:pStyle w:val="ListParagraph"/>
        <w:numPr>
          <w:ilvl w:val="0"/>
          <w:numId w:val="2"/>
        </w:numPr>
        <w:spacing w:after="90" w:line="280"/>
      </w:pPr>
      <w:r>
        <w:t xml:space="preserve">Cost-sensitive infrastructure – early-stage agritech platforms typically cannot justify large, always-on infrastructure and benefit from pay-as-you-go managed services.</w:t>
      </w:r>
    </w:p>
    <w:p>
      <w:pPr>
        <w:pStyle w:val="ListParagraph"/>
        <w:numPr>
          <w:ilvl w:val="0"/>
          <w:numId w:val="2"/>
        </w:numPr>
        <w:spacing w:after="90" w:line="280"/>
      </w:pPr>
      <w:r>
        <w:t xml:space="preserve">Heterogeneous data quality – price and produce data arriving from multiple sources (farmers, government feeds) requires normalisation before use.</w:t>
      </w:r>
    </w:p>
    <w:p>
      <w:pPr>
        <w:spacing w:after="160" w:line="300"/>
      </w:pPr>
      <w:r>
        <w:t xml:space="preserve">In response, this architecture adopts several well-established patterns: a microservices application layer behind a single API Gateway; an event-driven messaging layer to decouple slow or unreliable operations (such as SMS dispatch) from the main request path; a CDN and cache layer to reduce load on the primary database and improve performance on slow connections; an adapter pattern — modelled directly on e-NAM's Platform of Platforms approach — to isolate each external integration behind a dedicated interface; and client-side caching to tolerate intermittent connectivity. These patterns directly shape the architecture described in the remainder of this report.</w:t>
      </w:r>
    </w:p>
    <w:p>
      <w:pPr>
        <w:pStyle w:val="Heading3"/>
        <w:spacing w:after="100" w:before="200"/>
      </w:pPr>
      <w:r>
        <w:t xml:space="preserve">Sources</w:t>
      </w:r>
    </w:p>
    <w:p>
      <w:pPr>
        <w:spacing w:after="160" w:line="300"/>
      </w:pPr>
      <w:r>
        <w:t xml:space="preserve">Press Information Bureau, Ministry of Agriculture &amp; Farmers' Welfare, Government of India – e-NAM progress release, March 2026. Telecom Regulatory Authority of India (TRAI) – telecom subscription and connectivity data, 2026. National Payments Corporation of India (NPCI) – UPI product statistics, May 2026.</w:t>
      </w:r>
    </w:p>
    <w:p>
      <w:pPr>
        <w:pStyle w:val="Heading1"/>
        <w:spacing w:after="180" w:before="360"/>
      </w:pPr>
      <w:r>
        <w:t xml:space="preserve">3. High-Level System Architecture</w:t>
      </w:r>
    </w:p>
    <w:p>
      <w:pPr>
        <w:spacing w:after="160" w:line="300"/>
      </w:pPr>
      <w:r>
        <w:t xml:space="preserve">AgriConnect adopts a layered architecture with a microservices application tier, fronted by a single API Gateway and backed by a shared data layer. An asynchronous messaging layer decouples time-sensitive but non-blocking operations — chiefly notification dispatch — from the main request/response path. External systems are reached only through the specific services that need them, never directly by clients. This structure was chosen because it satisfies the goals in Section 1.4 directly: independent services can be scaled, deployed, and reasoned about separately (modularity, scalability), the gateway centralises authentication and rate limiting so individual services stay simple (security), and the messaging layer prevents a slow external dependency, such as an SMS provider, from blocking an order confirmation (reliability).</w:t>
      </w:r>
    </w:p>
    <w:p>
      <w:pPr>
        <w:spacing w:after="40" w:before="200" w:line="240" w:lineRule="auto"/>
        <w:jc w:val="center"/>
      </w:pPr>
      <w:r>
        <w:drawing>
          <wp:inline distT="0" distB="0" distL="0" distR="0">
            <wp:extent cx="57150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619625"/>
                    </a:xfrm>
                    <a:prstGeom prst="rect">
                      <a:avLst/>
                    </a:prstGeom>
                  </pic:spPr>
                </pic:pic>
              </a:graphicData>
            </a:graphic>
          </wp:inline>
        </w:drawing>
      </w:r>
    </w:p>
    <w:p>
      <w:pPr>
        <w:spacing w:after="300" w:before="100"/>
        <w:jc w:val="center"/>
      </w:pPr>
      <w:r>
        <w:rPr>
          <w:i/>
          <w:iCs/>
          <w:color w:val="555555"/>
          <w:sz w:val="19"/>
          <w:szCs w:val="19"/>
        </w:rPr>
        <w:t xml:space="preserve">Figure 1: AgriConnect high-level system architecture, showing the client, gateway, application, messaging, data, and integration layers.</w:t>
      </w:r>
    </w:p>
    <w:p>
      <w:pPr>
        <w:pStyle w:val="Heading3"/>
        <w:spacing w:after="100" w:before="200"/>
      </w:pPr>
      <w:r>
        <w:t xml:space="preserve">Layer-by-Layer Summary</w:t>
      </w:r>
    </w:p>
    <w:p>
      <w:pPr>
        <w:pStyle w:val="ListParagraph"/>
        <w:numPr>
          <w:ilvl w:val="0"/>
          <w:numId w:val="2"/>
        </w:numPr>
        <w:spacing w:after="90" w:line="280"/>
      </w:pPr>
      <w:r>
        <w:t xml:space="preserve">Client Layer – the farmer/buyer mobile app (with offline caching), the distributor/retailer app, and the admin web dashboard. All clients talk only to the API Gateway.</w:t>
      </w:r>
    </w:p>
    <w:p>
      <w:pPr>
        <w:pStyle w:val="ListParagraph"/>
        <w:numPr>
          <w:ilvl w:val="0"/>
          <w:numId w:val="2"/>
        </w:numPr>
        <w:spacing w:after="90" w:line="280"/>
      </w:pPr>
      <w:r>
        <w:t xml:space="preserve">API Gateway Layer – a single entry point handling authentication (JWT/OAuth2), rate limiting, request routing, and API versioning, so downstream services do not duplicate this logic.</w:t>
      </w:r>
    </w:p>
    <w:p>
      <w:pPr>
        <w:pStyle w:val="ListParagraph"/>
        <w:numPr>
          <w:ilvl w:val="0"/>
          <w:numId w:val="2"/>
        </w:numPr>
        <w:spacing w:after="90" w:line="280"/>
      </w:pPr>
      <w:r>
        <w:t xml:space="preserve">Application / Microservices Layer – six services, one per Week 1 functional module: User &amp; Auth, Crop Listing &amp; Inventory, Market Price Engine, Order &amp; Logistics, Notification, and Analytics &amp; Reporting.</w:t>
      </w:r>
    </w:p>
    <w:p>
      <w:pPr>
        <w:pStyle w:val="ListParagraph"/>
        <w:numPr>
          <w:ilvl w:val="0"/>
          <w:numId w:val="2"/>
        </w:numPr>
        <w:spacing w:after="90" w:line="280"/>
      </w:pPr>
      <w:r>
        <w:t xml:space="preserve">Asynchronous Messaging – a message queue carries order-related events from the Order &amp; Logistics Service to the Notification Service, so notification delivery never blocks an order response.</w:t>
      </w:r>
    </w:p>
    <w:p>
      <w:pPr>
        <w:pStyle w:val="ListParagraph"/>
        <w:numPr>
          <w:ilvl w:val="0"/>
          <w:numId w:val="2"/>
        </w:numPr>
        <w:spacing w:after="90" w:line="280"/>
      </w:pPr>
      <w:r>
        <w:t xml:space="preserve">Data Layer – a relational primary database for transactional data, a cache for hot, frequently-read data such as prices and sessions, and object storage with a CDN for crop photographs and static assets.</w:t>
      </w:r>
    </w:p>
    <w:p>
      <w:pPr>
        <w:pStyle w:val="ListParagraph"/>
        <w:numPr>
          <w:ilvl w:val="0"/>
          <w:numId w:val="2"/>
        </w:numPr>
        <w:spacing w:after="90" w:line="280"/>
      </w:pPr>
      <w:r>
        <w:t xml:space="preserve">External Integrations – the payment gateway, SMS/push notification gateway, government mandi price API, and weather advisory API, each accessed through a dedicated adapter inside the relevant service.</w:t>
      </w:r>
    </w:p>
    <w:p>
      <w:pPr>
        <w:pStyle w:val="Heading1"/>
        <w:spacing w:after="180" w:before="360"/>
      </w:pPr>
      <w:r>
        <w:t xml:space="preserve">4. Component Identification &amp; Responsibilities</w:t>
      </w:r>
    </w:p>
    <w:p>
      <w:pPr>
        <w:spacing w:after="160" w:line="300"/>
      </w:pPr>
      <w:r>
        <w:t xml:space="preserve">The table below identifies every major architectural component, its core responsibility, the recommended technology, and its principal dependency. Together these components implement the six functional modules and supporting infrastructure introduced in Section 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2200"/>
        <w:gridCol w:w="2000"/>
      </w:tblGrid>
      <w:tr>
        <w:trPr>
          <w:tblHeader/>
        </w:trPr>
        <w:tc>
          <w:tcPr>
            <w:tcW w:type="dxa" w:w="2000"/>
            <w:shd w:fill="1F3A2D" w:val="clear"/>
            <w:tcMar>
              <w:top w:type="dxa" w:w="80"/>
              <w:left w:type="dxa" w:w="100"/>
              <w:bottom w:type="dxa" w:w="80"/>
              <w:right w:type="dxa" w:w="100"/>
            </w:tcMar>
            <w:vAlign w:val="center"/>
          </w:tcPr>
          <w:p>
            <w:pPr>
              <w:spacing w:after="40"/>
            </w:pPr>
            <w:r>
              <w:rPr>
                <w:b/>
                <w:bCs/>
                <w:color w:val="FFFFFF"/>
                <w:sz w:val="19"/>
                <w:szCs w:val="19"/>
              </w:rPr>
              <w:t xml:space="preserve">Component</w:t>
            </w:r>
          </w:p>
        </w:tc>
        <w:tc>
          <w:tcPr>
            <w:tcW w:type="dxa" w:w="3300"/>
            <w:shd w:fill="1F3A2D" w:val="clear"/>
            <w:tcMar>
              <w:top w:type="dxa" w:w="80"/>
              <w:left w:type="dxa" w:w="100"/>
              <w:bottom w:type="dxa" w:w="80"/>
              <w:right w:type="dxa" w:w="100"/>
            </w:tcMar>
            <w:vAlign w:val="center"/>
          </w:tcPr>
          <w:p>
            <w:pPr>
              <w:spacing w:after="40"/>
            </w:pPr>
            <w:r>
              <w:rPr>
                <w:b/>
                <w:bCs/>
                <w:color w:val="FFFFFF"/>
                <w:sz w:val="19"/>
                <w:szCs w:val="19"/>
              </w:rPr>
              <w:t xml:space="preserve">Responsibility</w:t>
            </w:r>
          </w:p>
        </w:tc>
        <w:tc>
          <w:tcPr>
            <w:tcW w:type="dxa" w:w="2200"/>
            <w:shd w:fill="1F3A2D" w:val="clear"/>
            <w:tcMar>
              <w:top w:type="dxa" w:w="80"/>
              <w:left w:type="dxa" w:w="100"/>
              <w:bottom w:type="dxa" w:w="80"/>
              <w:right w:type="dxa" w:w="100"/>
            </w:tcMar>
            <w:vAlign w:val="center"/>
          </w:tcPr>
          <w:p>
            <w:pPr>
              <w:spacing w:after="40"/>
            </w:pPr>
            <w:r>
              <w:rPr>
                <w:b/>
                <w:bCs/>
                <w:color w:val="FFFFFF"/>
                <w:sz w:val="19"/>
                <w:szCs w:val="19"/>
              </w:rPr>
              <w:t xml:space="preserve">Key Technology</w:t>
            </w:r>
          </w:p>
        </w:tc>
        <w:tc>
          <w:tcPr>
            <w:tcW w:type="dxa" w:w="2000"/>
            <w:shd w:fill="1F3A2D" w:val="clear"/>
            <w:tcMar>
              <w:top w:type="dxa" w:w="80"/>
              <w:left w:type="dxa" w:w="100"/>
              <w:bottom w:type="dxa" w:w="80"/>
              <w:right w:type="dxa" w:w="100"/>
            </w:tcMar>
            <w:vAlign w:val="center"/>
          </w:tcPr>
          <w:p>
            <w:pPr>
              <w:spacing w:after="40"/>
            </w:pPr>
            <w:r>
              <w:rPr>
                <w:b/>
                <w:bCs/>
                <w:color w:val="FFFFFF"/>
                <w:sz w:val="19"/>
                <w:szCs w:val="19"/>
              </w:rPr>
              <w:t xml:space="preserve">Depends On</w:t>
            </w:r>
          </w:p>
        </w:tc>
      </w:tr>
      <w:tr>
        <w:tc>
          <w:tcPr>
            <w:tcW w:type="dxa" w:w="2000"/>
            <w:tcMar>
              <w:top w:type="dxa" w:w="80"/>
              <w:left w:type="dxa" w:w="100"/>
              <w:bottom w:type="dxa" w:w="80"/>
              <w:right w:type="dxa" w:w="100"/>
            </w:tcMar>
            <w:vAlign w:val="center"/>
          </w:tcPr>
          <w:p>
            <w:pPr>
              <w:spacing w:after="40"/>
            </w:pPr>
            <w:r>
              <w:rPr>
                <w:sz w:val="19"/>
                <w:szCs w:val="19"/>
              </w:rPr>
              <w:t xml:space="preserve">Mobile / Web Client Apps</w:t>
            </w:r>
          </w:p>
        </w:tc>
        <w:tc>
          <w:tcPr>
            <w:tcW w:type="dxa" w:w="3300"/>
            <w:tcMar>
              <w:top w:type="dxa" w:w="80"/>
              <w:left w:type="dxa" w:w="100"/>
              <w:bottom w:type="dxa" w:w="80"/>
              <w:right w:type="dxa" w:w="100"/>
            </w:tcMar>
            <w:vAlign w:val="center"/>
          </w:tcPr>
          <w:p>
            <w:pPr>
              <w:spacing w:after="40"/>
            </w:pPr>
            <w:r>
              <w:rPr>
                <w:sz w:val="19"/>
                <w:szCs w:val="19"/>
              </w:rPr>
              <w:t xml:space="preserve">Farmer, distributor, and retailer interactions; offline caching of recent listings and prices</w:t>
            </w:r>
          </w:p>
        </w:tc>
        <w:tc>
          <w:tcPr>
            <w:tcW w:type="dxa" w:w="2200"/>
            <w:tcMar>
              <w:top w:type="dxa" w:w="80"/>
              <w:left w:type="dxa" w:w="100"/>
              <w:bottom w:type="dxa" w:w="80"/>
              <w:right w:type="dxa" w:w="100"/>
            </w:tcMar>
            <w:vAlign w:val="center"/>
          </w:tcPr>
          <w:p>
            <w:pPr>
              <w:spacing w:after="40"/>
            </w:pPr>
            <w:r>
              <w:rPr>
                <w:sz w:val="19"/>
                <w:szCs w:val="19"/>
              </w:rPr>
              <w:t xml:space="preserve">React Native (mobile), React (web)</w:t>
            </w:r>
          </w:p>
        </w:tc>
        <w:tc>
          <w:tcPr>
            <w:tcW w:type="dxa" w:w="2000"/>
            <w:tcMar>
              <w:top w:type="dxa" w:w="80"/>
              <w:left w:type="dxa" w:w="100"/>
              <w:bottom w:type="dxa" w:w="80"/>
              <w:right w:type="dxa" w:w="100"/>
            </w:tcMar>
            <w:vAlign w:val="center"/>
          </w:tcPr>
          <w:p>
            <w:pPr>
              <w:spacing w:after="40"/>
            </w:pPr>
            <w:r>
              <w:rPr>
                <w:sz w:val="19"/>
                <w:szCs w:val="19"/>
              </w:rPr>
              <w:t xml:space="preserve">API Gateway</w:t>
            </w:r>
          </w:p>
        </w:tc>
      </w:tr>
      <w:tr>
        <w:tc>
          <w:tcPr>
            <w:tcW w:type="dxa" w:w="2000"/>
            <w:shd w:fill="F5F8F6" w:val="clear"/>
            <w:tcMar>
              <w:top w:type="dxa" w:w="80"/>
              <w:left w:type="dxa" w:w="100"/>
              <w:bottom w:type="dxa" w:w="80"/>
              <w:right w:type="dxa" w:w="100"/>
            </w:tcMar>
            <w:vAlign w:val="center"/>
          </w:tcPr>
          <w:p>
            <w:pPr>
              <w:spacing w:after="40"/>
            </w:pPr>
            <w:r>
              <w:rPr>
                <w:sz w:val="19"/>
                <w:szCs w:val="19"/>
              </w:rPr>
              <w:t xml:space="preserve">Admin Web Dashboard</w:t>
            </w:r>
          </w:p>
        </w:tc>
        <w:tc>
          <w:tcPr>
            <w:tcW w:type="dxa" w:w="3300"/>
            <w:shd w:fill="F5F8F6" w:val="clear"/>
            <w:tcMar>
              <w:top w:type="dxa" w:w="80"/>
              <w:left w:type="dxa" w:w="100"/>
              <w:bottom w:type="dxa" w:w="80"/>
              <w:right w:type="dxa" w:w="100"/>
            </w:tcMar>
            <w:vAlign w:val="center"/>
          </w:tcPr>
          <w:p>
            <w:pPr>
              <w:spacing w:after="40"/>
            </w:pPr>
            <w:r>
              <w:rPr>
                <w:sz w:val="19"/>
                <w:szCs w:val="19"/>
              </w:rPr>
              <w:t xml:space="preserve">Platform administration, user verification, analytics viewing</w:t>
            </w:r>
          </w:p>
        </w:tc>
        <w:tc>
          <w:tcPr>
            <w:tcW w:type="dxa" w:w="2200"/>
            <w:shd w:fill="F5F8F6" w:val="clear"/>
            <w:tcMar>
              <w:top w:type="dxa" w:w="80"/>
              <w:left w:type="dxa" w:w="100"/>
              <w:bottom w:type="dxa" w:w="80"/>
              <w:right w:type="dxa" w:w="100"/>
            </w:tcMar>
            <w:vAlign w:val="center"/>
          </w:tcPr>
          <w:p>
            <w:pPr>
              <w:spacing w:after="40"/>
            </w:pPr>
            <w:r>
              <w:rPr>
                <w:sz w:val="19"/>
                <w:szCs w:val="19"/>
              </w:rPr>
              <w:t xml:space="preserve">React SPA</w:t>
            </w:r>
          </w:p>
        </w:tc>
        <w:tc>
          <w:tcPr>
            <w:tcW w:type="dxa" w:w="2000"/>
            <w:shd w:fill="F5F8F6" w:val="clear"/>
            <w:tcMar>
              <w:top w:type="dxa" w:w="80"/>
              <w:left w:type="dxa" w:w="100"/>
              <w:bottom w:type="dxa" w:w="80"/>
              <w:right w:type="dxa" w:w="100"/>
            </w:tcMar>
            <w:vAlign w:val="center"/>
          </w:tcPr>
          <w:p>
            <w:pPr>
              <w:spacing w:after="40"/>
            </w:pPr>
            <w:r>
              <w:rPr>
                <w:sz w:val="19"/>
                <w:szCs w:val="19"/>
              </w:rPr>
              <w:t xml:space="preserve">API Gateway</w:t>
            </w:r>
          </w:p>
        </w:tc>
      </w:tr>
      <w:tr>
        <w:tc>
          <w:tcPr>
            <w:tcW w:type="dxa" w:w="2000"/>
            <w:tcMar>
              <w:top w:type="dxa" w:w="80"/>
              <w:left w:type="dxa" w:w="100"/>
              <w:bottom w:type="dxa" w:w="80"/>
              <w:right w:type="dxa" w:w="100"/>
            </w:tcMar>
            <w:vAlign w:val="center"/>
          </w:tcPr>
          <w:p>
            <w:pPr>
              <w:spacing w:after="40"/>
            </w:pPr>
            <w:r>
              <w:rPr>
                <w:sz w:val="19"/>
                <w:szCs w:val="19"/>
              </w:rPr>
              <w:t xml:space="preserve">API Gateway</w:t>
            </w:r>
          </w:p>
        </w:tc>
        <w:tc>
          <w:tcPr>
            <w:tcW w:type="dxa" w:w="3300"/>
            <w:tcMar>
              <w:top w:type="dxa" w:w="80"/>
              <w:left w:type="dxa" w:w="100"/>
              <w:bottom w:type="dxa" w:w="80"/>
              <w:right w:type="dxa" w:w="100"/>
            </w:tcMar>
            <w:vAlign w:val="center"/>
          </w:tcPr>
          <w:p>
            <w:pPr>
              <w:spacing w:after="40"/>
            </w:pPr>
            <w:r>
              <w:rPr>
                <w:sz w:val="19"/>
                <w:szCs w:val="19"/>
              </w:rPr>
              <w:t xml:space="preserve">Authentication, rate limiting, request routing, API versioning</w:t>
            </w:r>
          </w:p>
        </w:tc>
        <w:tc>
          <w:tcPr>
            <w:tcW w:type="dxa" w:w="2200"/>
            <w:tcMar>
              <w:top w:type="dxa" w:w="80"/>
              <w:left w:type="dxa" w:w="100"/>
              <w:bottom w:type="dxa" w:w="80"/>
              <w:right w:type="dxa" w:w="100"/>
            </w:tcMar>
            <w:vAlign w:val="center"/>
          </w:tcPr>
          <w:p>
            <w:pPr>
              <w:spacing w:after="40"/>
            </w:pPr>
            <w:r>
              <w:rPr>
                <w:sz w:val="19"/>
                <w:szCs w:val="19"/>
              </w:rPr>
              <w:t xml:space="preserve">Managed API Gateway</w:t>
            </w:r>
          </w:p>
        </w:tc>
        <w:tc>
          <w:tcPr>
            <w:tcW w:type="dxa" w:w="2000"/>
            <w:tcMar>
              <w:top w:type="dxa" w:w="80"/>
              <w:left w:type="dxa" w:w="100"/>
              <w:bottom w:type="dxa" w:w="80"/>
              <w:right w:type="dxa" w:w="100"/>
            </w:tcMar>
            <w:vAlign w:val="center"/>
          </w:tcPr>
          <w:p>
            <w:pPr>
              <w:spacing w:after="40"/>
            </w:pPr>
            <w:r>
              <w:rPr>
                <w:sz w:val="19"/>
                <w:szCs w:val="19"/>
              </w:rPr>
              <w:t xml:space="preserve">All backend services</w:t>
            </w:r>
          </w:p>
        </w:tc>
      </w:tr>
      <w:tr>
        <w:tc>
          <w:tcPr>
            <w:tcW w:type="dxa" w:w="2000"/>
            <w:shd w:fill="F5F8F6" w:val="clear"/>
            <w:tcMar>
              <w:top w:type="dxa" w:w="80"/>
              <w:left w:type="dxa" w:w="100"/>
              <w:bottom w:type="dxa" w:w="80"/>
              <w:right w:type="dxa" w:w="100"/>
            </w:tcMar>
            <w:vAlign w:val="center"/>
          </w:tcPr>
          <w:p>
            <w:pPr>
              <w:spacing w:after="40"/>
            </w:pPr>
            <w:r>
              <w:rPr>
                <w:sz w:val="19"/>
                <w:szCs w:val="19"/>
              </w:rPr>
              <w:t xml:space="preserve">User &amp; Auth Service</w:t>
            </w:r>
          </w:p>
        </w:tc>
        <w:tc>
          <w:tcPr>
            <w:tcW w:type="dxa" w:w="3300"/>
            <w:shd w:fill="F5F8F6" w:val="clear"/>
            <w:tcMar>
              <w:top w:type="dxa" w:w="80"/>
              <w:left w:type="dxa" w:w="100"/>
              <w:bottom w:type="dxa" w:w="80"/>
              <w:right w:type="dxa" w:w="100"/>
            </w:tcMar>
            <w:vAlign w:val="center"/>
          </w:tcPr>
          <w:p>
            <w:pPr>
              <w:spacing w:after="40"/>
            </w:pPr>
            <w:r>
              <w:rPr>
                <w:sz w:val="19"/>
                <w:szCs w:val="19"/>
              </w:rPr>
              <w:t xml:space="preserve">Registration, OTP login, profile management, role-based access</w:t>
            </w:r>
          </w:p>
        </w:tc>
        <w:tc>
          <w:tcPr>
            <w:tcW w:type="dxa" w:w="2200"/>
            <w:shd w:fill="F5F8F6" w:val="clear"/>
            <w:tcMar>
              <w:top w:type="dxa" w:w="80"/>
              <w:left w:type="dxa" w:w="100"/>
              <w:bottom w:type="dxa" w:w="80"/>
              <w:right w:type="dxa" w:w="100"/>
            </w:tcMar>
            <w:vAlign w:val="center"/>
          </w:tcPr>
          <w:p>
            <w:pPr>
              <w:spacing w:after="40"/>
            </w:pPr>
            <w:r>
              <w:rPr>
                <w:sz w:val="19"/>
                <w:szCs w:val="19"/>
              </w:rPr>
              <w:t xml:space="preserve">Node.js / Express, JWT</w:t>
            </w:r>
          </w:p>
        </w:tc>
        <w:tc>
          <w:tcPr>
            <w:tcW w:type="dxa" w:w="2000"/>
            <w:shd w:fill="F5F8F6" w:val="clear"/>
            <w:tcMar>
              <w:top w:type="dxa" w:w="80"/>
              <w:left w:type="dxa" w:w="100"/>
              <w:bottom w:type="dxa" w:w="80"/>
              <w:right w:type="dxa" w:w="100"/>
            </w:tcMar>
            <w:vAlign w:val="center"/>
          </w:tcPr>
          <w:p>
            <w:pPr>
              <w:spacing w:after="40"/>
            </w:pPr>
            <w:r>
              <w:rPr>
                <w:sz w:val="19"/>
                <w:szCs w:val="19"/>
              </w:rPr>
              <w:t xml:space="preserve">Primary Database</w:t>
            </w:r>
          </w:p>
        </w:tc>
      </w:tr>
      <w:tr>
        <w:tc>
          <w:tcPr>
            <w:tcW w:type="dxa" w:w="2000"/>
            <w:tcMar>
              <w:top w:type="dxa" w:w="80"/>
              <w:left w:type="dxa" w:w="100"/>
              <w:bottom w:type="dxa" w:w="80"/>
              <w:right w:type="dxa" w:w="100"/>
            </w:tcMar>
            <w:vAlign w:val="center"/>
          </w:tcPr>
          <w:p>
            <w:pPr>
              <w:spacing w:after="40"/>
            </w:pPr>
            <w:r>
              <w:rPr>
                <w:sz w:val="19"/>
                <w:szCs w:val="19"/>
              </w:rPr>
              <w:t xml:space="preserve">Crop Listing &amp; Inventory Service</w:t>
            </w:r>
          </w:p>
        </w:tc>
        <w:tc>
          <w:tcPr>
            <w:tcW w:type="dxa" w:w="3300"/>
            <w:tcMar>
              <w:top w:type="dxa" w:w="80"/>
              <w:left w:type="dxa" w:w="100"/>
              <w:bottom w:type="dxa" w:w="80"/>
              <w:right w:type="dxa" w:w="100"/>
            </w:tcMar>
            <w:vAlign w:val="center"/>
          </w:tcPr>
          <w:p>
            <w:pPr>
              <w:spacing w:after="40"/>
            </w:pPr>
            <w:r>
              <w:rPr>
                <w:sz w:val="19"/>
                <w:szCs w:val="19"/>
              </w:rPr>
              <w:t xml:space="preserve">Listing CRUD, search &amp; filter, photo handling</w:t>
            </w:r>
          </w:p>
        </w:tc>
        <w:tc>
          <w:tcPr>
            <w:tcW w:type="dxa" w:w="2200"/>
            <w:tcMar>
              <w:top w:type="dxa" w:w="80"/>
              <w:left w:type="dxa" w:w="100"/>
              <w:bottom w:type="dxa" w:w="80"/>
              <w:right w:type="dxa" w:w="100"/>
            </w:tcMar>
            <w:vAlign w:val="center"/>
          </w:tcPr>
          <w:p>
            <w:pPr>
              <w:spacing w:after="40"/>
            </w:pPr>
            <w:r>
              <w:rPr>
                <w:sz w:val="19"/>
                <w:szCs w:val="19"/>
              </w:rPr>
              <w:t xml:space="preserve">Node.js / Express</w:t>
            </w:r>
          </w:p>
        </w:tc>
        <w:tc>
          <w:tcPr>
            <w:tcW w:type="dxa" w:w="2000"/>
            <w:tcMar>
              <w:top w:type="dxa" w:w="80"/>
              <w:left w:type="dxa" w:w="100"/>
              <w:bottom w:type="dxa" w:w="80"/>
              <w:right w:type="dxa" w:w="100"/>
            </w:tcMar>
            <w:vAlign w:val="center"/>
          </w:tcPr>
          <w:p>
            <w:pPr>
              <w:spacing w:after="40"/>
            </w:pPr>
            <w:r>
              <w:rPr>
                <w:sz w:val="19"/>
                <w:szCs w:val="19"/>
              </w:rPr>
              <w:t xml:space="preserve">Primary Database, Object Storage</w:t>
            </w:r>
          </w:p>
        </w:tc>
      </w:tr>
      <w:tr>
        <w:tc>
          <w:tcPr>
            <w:tcW w:type="dxa" w:w="2000"/>
            <w:shd w:fill="F5F8F6" w:val="clear"/>
            <w:tcMar>
              <w:top w:type="dxa" w:w="80"/>
              <w:left w:type="dxa" w:w="100"/>
              <w:bottom w:type="dxa" w:w="80"/>
              <w:right w:type="dxa" w:w="100"/>
            </w:tcMar>
            <w:vAlign w:val="center"/>
          </w:tcPr>
          <w:p>
            <w:pPr>
              <w:spacing w:after="40"/>
            </w:pPr>
            <w:r>
              <w:rPr>
                <w:sz w:val="19"/>
                <w:szCs w:val="19"/>
              </w:rPr>
              <w:t xml:space="preserve">Market Price Engine</w:t>
            </w:r>
          </w:p>
        </w:tc>
        <w:tc>
          <w:tcPr>
            <w:tcW w:type="dxa" w:w="3300"/>
            <w:shd w:fill="F5F8F6" w:val="clear"/>
            <w:tcMar>
              <w:top w:type="dxa" w:w="80"/>
              <w:left w:type="dxa" w:w="100"/>
              <w:bottom w:type="dxa" w:w="80"/>
              <w:right w:type="dxa" w:w="100"/>
            </w:tcMar>
            <w:vAlign w:val="center"/>
          </w:tcPr>
          <w:p>
            <w:pPr>
              <w:spacing w:after="40"/>
            </w:pPr>
            <w:r>
              <w:rPr>
                <w:sz w:val="19"/>
                <w:szCs w:val="19"/>
              </w:rPr>
              <w:t xml:space="preserve">Price display, trend calculation, threshold alerts</w:t>
            </w:r>
          </w:p>
        </w:tc>
        <w:tc>
          <w:tcPr>
            <w:tcW w:type="dxa" w:w="2200"/>
            <w:shd w:fill="F5F8F6" w:val="clear"/>
            <w:tcMar>
              <w:top w:type="dxa" w:w="80"/>
              <w:left w:type="dxa" w:w="100"/>
              <w:bottom w:type="dxa" w:w="80"/>
              <w:right w:type="dxa" w:w="100"/>
            </w:tcMar>
            <w:vAlign w:val="center"/>
          </w:tcPr>
          <w:p>
            <w:pPr>
              <w:spacing w:after="40"/>
            </w:pPr>
            <w:r>
              <w:rPr>
                <w:sz w:val="19"/>
                <w:szCs w:val="19"/>
              </w:rPr>
              <w:t xml:space="preserve">Node.js / Express</w:t>
            </w:r>
          </w:p>
        </w:tc>
        <w:tc>
          <w:tcPr>
            <w:tcW w:type="dxa" w:w="2000"/>
            <w:shd w:fill="F5F8F6" w:val="clear"/>
            <w:tcMar>
              <w:top w:type="dxa" w:w="80"/>
              <w:left w:type="dxa" w:w="100"/>
              <w:bottom w:type="dxa" w:w="80"/>
              <w:right w:type="dxa" w:w="100"/>
            </w:tcMar>
            <w:vAlign w:val="center"/>
          </w:tcPr>
          <w:p>
            <w:pPr>
              <w:spacing w:after="40"/>
            </w:pPr>
            <w:r>
              <w:rPr>
                <w:sz w:val="19"/>
                <w:szCs w:val="19"/>
              </w:rPr>
              <w:t xml:space="preserve">Cache, Govt. Mandi API</w:t>
            </w:r>
          </w:p>
        </w:tc>
      </w:tr>
      <w:tr>
        <w:tc>
          <w:tcPr>
            <w:tcW w:type="dxa" w:w="2000"/>
            <w:tcMar>
              <w:top w:type="dxa" w:w="80"/>
              <w:left w:type="dxa" w:w="100"/>
              <w:bottom w:type="dxa" w:w="80"/>
              <w:right w:type="dxa" w:w="100"/>
            </w:tcMar>
            <w:vAlign w:val="center"/>
          </w:tcPr>
          <w:p>
            <w:pPr>
              <w:spacing w:after="40"/>
            </w:pPr>
            <w:r>
              <w:rPr>
                <w:sz w:val="19"/>
                <w:szCs w:val="19"/>
              </w:rPr>
              <w:t xml:space="preserve">Order &amp; Logistics Service</w:t>
            </w:r>
          </w:p>
        </w:tc>
        <w:tc>
          <w:tcPr>
            <w:tcW w:type="dxa" w:w="3300"/>
            <w:tcMar>
              <w:top w:type="dxa" w:w="80"/>
              <w:left w:type="dxa" w:w="100"/>
              <w:bottom w:type="dxa" w:w="80"/>
              <w:right w:type="dxa" w:w="100"/>
            </w:tcMar>
            <w:vAlign w:val="center"/>
          </w:tcPr>
          <w:p>
            <w:pPr>
              <w:spacing w:after="40"/>
            </w:pPr>
            <w:r>
              <w:rPr>
                <w:sz w:val="19"/>
                <w:szCs w:val="19"/>
              </w:rPr>
              <w:t xml:space="preserve">Order lifecycle, logistics assignment, shipment tracking</w:t>
            </w:r>
          </w:p>
        </w:tc>
        <w:tc>
          <w:tcPr>
            <w:tcW w:type="dxa" w:w="2200"/>
            <w:tcMar>
              <w:top w:type="dxa" w:w="80"/>
              <w:left w:type="dxa" w:w="100"/>
              <w:bottom w:type="dxa" w:w="80"/>
              <w:right w:type="dxa" w:w="100"/>
            </w:tcMar>
            <w:vAlign w:val="center"/>
          </w:tcPr>
          <w:p>
            <w:pPr>
              <w:spacing w:after="40"/>
            </w:pPr>
            <w:r>
              <w:rPr>
                <w:sz w:val="19"/>
                <w:szCs w:val="19"/>
              </w:rPr>
              <w:t xml:space="preserve">Node.js / Express</w:t>
            </w:r>
          </w:p>
        </w:tc>
        <w:tc>
          <w:tcPr>
            <w:tcW w:type="dxa" w:w="2000"/>
            <w:tcMar>
              <w:top w:type="dxa" w:w="80"/>
              <w:left w:type="dxa" w:w="100"/>
              <w:bottom w:type="dxa" w:w="80"/>
              <w:right w:type="dxa" w:w="100"/>
            </w:tcMar>
            <w:vAlign w:val="center"/>
          </w:tcPr>
          <w:p>
            <w:pPr>
              <w:spacing w:after="40"/>
            </w:pPr>
            <w:r>
              <w:rPr>
                <w:sz w:val="19"/>
                <w:szCs w:val="19"/>
              </w:rPr>
              <w:t xml:space="preserve">Primary Database, Payment Gateway, Message Queue</w:t>
            </w:r>
          </w:p>
        </w:tc>
      </w:tr>
      <w:tr>
        <w:tc>
          <w:tcPr>
            <w:tcW w:type="dxa" w:w="2000"/>
            <w:shd w:fill="F5F8F6" w:val="clear"/>
            <w:tcMar>
              <w:top w:type="dxa" w:w="80"/>
              <w:left w:type="dxa" w:w="100"/>
              <w:bottom w:type="dxa" w:w="80"/>
              <w:right w:type="dxa" w:w="100"/>
            </w:tcMar>
            <w:vAlign w:val="center"/>
          </w:tcPr>
          <w:p>
            <w:pPr>
              <w:spacing w:after="40"/>
            </w:pPr>
            <w:r>
              <w:rPr>
                <w:sz w:val="19"/>
                <w:szCs w:val="19"/>
              </w:rPr>
              <w:t xml:space="preserve">Notification Service / Worker</w:t>
            </w:r>
          </w:p>
        </w:tc>
        <w:tc>
          <w:tcPr>
            <w:tcW w:type="dxa" w:w="3300"/>
            <w:shd w:fill="F5F8F6" w:val="clear"/>
            <w:tcMar>
              <w:top w:type="dxa" w:w="80"/>
              <w:left w:type="dxa" w:w="100"/>
              <w:bottom w:type="dxa" w:w="80"/>
              <w:right w:type="dxa" w:w="100"/>
            </w:tcMar>
            <w:vAlign w:val="center"/>
          </w:tcPr>
          <w:p>
            <w:pPr>
              <w:spacing w:after="40"/>
            </w:pPr>
            <w:r>
              <w:rPr>
                <w:sz w:val="19"/>
                <w:szCs w:val="19"/>
              </w:rPr>
              <w:t xml:space="preserve">Consumes events, renders templates, dispatches SMS/push</w:t>
            </w:r>
          </w:p>
        </w:tc>
        <w:tc>
          <w:tcPr>
            <w:tcW w:type="dxa" w:w="2200"/>
            <w:shd w:fill="F5F8F6" w:val="clear"/>
            <w:tcMar>
              <w:top w:type="dxa" w:w="80"/>
              <w:left w:type="dxa" w:w="100"/>
              <w:bottom w:type="dxa" w:w="80"/>
              <w:right w:type="dxa" w:w="100"/>
            </w:tcMar>
            <w:vAlign w:val="center"/>
          </w:tcPr>
          <w:p>
            <w:pPr>
              <w:spacing w:after="40"/>
            </w:pPr>
            <w:r>
              <w:rPr>
                <w:sz w:val="19"/>
                <w:szCs w:val="19"/>
              </w:rPr>
              <w:t xml:space="preserve">Node.js worker</w:t>
            </w:r>
          </w:p>
        </w:tc>
        <w:tc>
          <w:tcPr>
            <w:tcW w:type="dxa" w:w="2000"/>
            <w:shd w:fill="F5F8F6" w:val="clear"/>
            <w:tcMar>
              <w:top w:type="dxa" w:w="80"/>
              <w:left w:type="dxa" w:w="100"/>
              <w:bottom w:type="dxa" w:w="80"/>
              <w:right w:type="dxa" w:w="100"/>
            </w:tcMar>
            <w:vAlign w:val="center"/>
          </w:tcPr>
          <w:p>
            <w:pPr>
              <w:spacing w:after="40"/>
            </w:pPr>
            <w:r>
              <w:rPr>
                <w:sz w:val="19"/>
                <w:szCs w:val="19"/>
              </w:rPr>
              <w:t xml:space="preserve">Message Queue, SMS/Push Gateway</w:t>
            </w:r>
          </w:p>
        </w:tc>
      </w:tr>
      <w:tr>
        <w:tc>
          <w:tcPr>
            <w:tcW w:type="dxa" w:w="2000"/>
            <w:tcMar>
              <w:top w:type="dxa" w:w="80"/>
              <w:left w:type="dxa" w:w="100"/>
              <w:bottom w:type="dxa" w:w="80"/>
              <w:right w:type="dxa" w:w="100"/>
            </w:tcMar>
            <w:vAlign w:val="center"/>
          </w:tcPr>
          <w:p>
            <w:pPr>
              <w:spacing w:after="40"/>
            </w:pPr>
            <w:r>
              <w:rPr>
                <w:sz w:val="19"/>
                <w:szCs w:val="19"/>
              </w:rPr>
              <w:t xml:space="preserve">Analytics &amp; Reporting Service</w:t>
            </w:r>
          </w:p>
        </w:tc>
        <w:tc>
          <w:tcPr>
            <w:tcW w:type="dxa" w:w="3300"/>
            <w:tcMar>
              <w:top w:type="dxa" w:w="80"/>
              <w:left w:type="dxa" w:w="100"/>
              <w:bottom w:type="dxa" w:w="80"/>
              <w:right w:type="dxa" w:w="100"/>
            </w:tcMar>
            <w:vAlign w:val="center"/>
          </w:tcPr>
          <w:p>
            <w:pPr>
              <w:spacing w:after="40"/>
            </w:pPr>
            <w:r>
              <w:rPr>
                <w:sz w:val="19"/>
                <w:szCs w:val="19"/>
              </w:rPr>
              <w:t xml:space="preserve">Aggregates metrics, generates downloadable reports</w:t>
            </w:r>
          </w:p>
        </w:tc>
        <w:tc>
          <w:tcPr>
            <w:tcW w:type="dxa" w:w="2200"/>
            <w:tcMar>
              <w:top w:type="dxa" w:w="80"/>
              <w:left w:type="dxa" w:w="100"/>
              <w:bottom w:type="dxa" w:w="80"/>
              <w:right w:type="dxa" w:w="100"/>
            </w:tcMar>
            <w:vAlign w:val="center"/>
          </w:tcPr>
          <w:p>
            <w:pPr>
              <w:spacing w:after="40"/>
            </w:pPr>
            <w:r>
              <w:rPr>
                <w:sz w:val="19"/>
                <w:szCs w:val="19"/>
              </w:rPr>
              <w:t xml:space="preserve">Node.js / Express</w:t>
            </w:r>
          </w:p>
        </w:tc>
        <w:tc>
          <w:tcPr>
            <w:tcW w:type="dxa" w:w="2000"/>
            <w:tcMar>
              <w:top w:type="dxa" w:w="80"/>
              <w:left w:type="dxa" w:w="100"/>
              <w:bottom w:type="dxa" w:w="80"/>
              <w:right w:type="dxa" w:w="100"/>
            </w:tcMar>
            <w:vAlign w:val="center"/>
          </w:tcPr>
          <w:p>
            <w:pPr>
              <w:spacing w:after="40"/>
            </w:pPr>
            <w:r>
              <w:rPr>
                <w:sz w:val="19"/>
                <w:szCs w:val="19"/>
              </w:rPr>
              <w:t xml:space="preserve">Primary Database (read replica)</w:t>
            </w:r>
          </w:p>
        </w:tc>
      </w:tr>
      <w:tr>
        <w:tc>
          <w:tcPr>
            <w:tcW w:type="dxa" w:w="2000"/>
            <w:shd w:fill="F5F8F6" w:val="clear"/>
            <w:tcMar>
              <w:top w:type="dxa" w:w="80"/>
              <w:left w:type="dxa" w:w="100"/>
              <w:bottom w:type="dxa" w:w="80"/>
              <w:right w:type="dxa" w:w="100"/>
            </w:tcMar>
            <w:vAlign w:val="center"/>
          </w:tcPr>
          <w:p>
            <w:pPr>
              <w:spacing w:after="40"/>
            </w:pPr>
            <w:r>
              <w:rPr>
                <w:sz w:val="19"/>
                <w:szCs w:val="19"/>
              </w:rPr>
              <w:t xml:space="preserve">Message Queue</w:t>
            </w:r>
          </w:p>
        </w:tc>
        <w:tc>
          <w:tcPr>
            <w:tcW w:type="dxa" w:w="3300"/>
            <w:shd w:fill="F5F8F6" w:val="clear"/>
            <w:tcMar>
              <w:top w:type="dxa" w:w="80"/>
              <w:left w:type="dxa" w:w="100"/>
              <w:bottom w:type="dxa" w:w="80"/>
              <w:right w:type="dxa" w:w="100"/>
            </w:tcMar>
            <w:vAlign w:val="center"/>
          </w:tcPr>
          <w:p>
            <w:pPr>
              <w:spacing w:after="40"/>
            </w:pPr>
            <w:r>
              <w:rPr>
                <w:sz w:val="19"/>
                <w:szCs w:val="19"/>
              </w:rPr>
              <w:t xml:space="preserve">Decouples order events from notification dispatch</w:t>
            </w:r>
          </w:p>
        </w:tc>
        <w:tc>
          <w:tcPr>
            <w:tcW w:type="dxa" w:w="2200"/>
            <w:shd w:fill="F5F8F6" w:val="clear"/>
            <w:tcMar>
              <w:top w:type="dxa" w:w="80"/>
              <w:left w:type="dxa" w:w="100"/>
              <w:bottom w:type="dxa" w:w="80"/>
              <w:right w:type="dxa" w:w="100"/>
            </w:tcMar>
            <w:vAlign w:val="center"/>
          </w:tcPr>
          <w:p>
            <w:pPr>
              <w:spacing w:after="40"/>
            </w:pPr>
            <w:r>
              <w:rPr>
                <w:sz w:val="19"/>
                <w:szCs w:val="19"/>
              </w:rPr>
              <w:t xml:space="preserve">Managed queue (SQS / RabbitMQ)</w:t>
            </w:r>
          </w:p>
        </w:tc>
        <w:tc>
          <w:tcPr>
            <w:tcW w:type="dxa" w:w="2000"/>
            <w:shd w:fill="F5F8F6" w:val="clear"/>
            <w:tcMar>
              <w:top w:type="dxa" w:w="80"/>
              <w:left w:type="dxa" w:w="100"/>
              <w:bottom w:type="dxa" w:w="80"/>
              <w:right w:type="dxa" w:w="100"/>
            </w:tcMar>
            <w:vAlign w:val="center"/>
          </w:tcPr>
          <w:p>
            <w:pPr>
              <w:spacing w:after="40"/>
            </w:pPr>
            <w:r>
              <w:rPr>
                <w:sz w:val="19"/>
                <w:szCs w:val="19"/>
              </w:rPr>
              <w:t xml:space="preserve">–</w:t>
            </w:r>
          </w:p>
        </w:tc>
      </w:tr>
      <w:tr>
        <w:tc>
          <w:tcPr>
            <w:tcW w:type="dxa" w:w="2000"/>
            <w:tcMar>
              <w:top w:type="dxa" w:w="80"/>
              <w:left w:type="dxa" w:w="100"/>
              <w:bottom w:type="dxa" w:w="80"/>
              <w:right w:type="dxa" w:w="100"/>
            </w:tcMar>
            <w:vAlign w:val="center"/>
          </w:tcPr>
          <w:p>
            <w:pPr>
              <w:spacing w:after="40"/>
            </w:pPr>
            <w:r>
              <w:rPr>
                <w:sz w:val="19"/>
                <w:szCs w:val="19"/>
              </w:rPr>
              <w:t xml:space="preserve">Primary Database</w:t>
            </w:r>
          </w:p>
        </w:tc>
        <w:tc>
          <w:tcPr>
            <w:tcW w:type="dxa" w:w="3300"/>
            <w:tcMar>
              <w:top w:type="dxa" w:w="80"/>
              <w:left w:type="dxa" w:w="100"/>
              <w:bottom w:type="dxa" w:w="80"/>
              <w:right w:type="dxa" w:w="100"/>
            </w:tcMar>
            <w:vAlign w:val="center"/>
          </w:tcPr>
          <w:p>
            <w:pPr>
              <w:spacing w:after="40"/>
            </w:pPr>
            <w:r>
              <w:rPr>
                <w:sz w:val="19"/>
                <w:szCs w:val="19"/>
              </w:rPr>
              <w:t xml:space="preserve">System of record for users, listings, orders, payments</w:t>
            </w:r>
          </w:p>
        </w:tc>
        <w:tc>
          <w:tcPr>
            <w:tcW w:type="dxa" w:w="2200"/>
            <w:tcMar>
              <w:top w:type="dxa" w:w="80"/>
              <w:left w:type="dxa" w:w="100"/>
              <w:bottom w:type="dxa" w:w="80"/>
              <w:right w:type="dxa" w:w="100"/>
            </w:tcMar>
            <w:vAlign w:val="center"/>
          </w:tcPr>
          <w:p>
            <w:pPr>
              <w:spacing w:after="40"/>
            </w:pPr>
            <w:r>
              <w:rPr>
                <w:sz w:val="19"/>
                <w:szCs w:val="19"/>
              </w:rPr>
              <w:t xml:space="preserve">PostgreSQL</w:t>
            </w:r>
          </w:p>
        </w:tc>
        <w:tc>
          <w:tcPr>
            <w:tcW w:type="dxa" w:w="2000"/>
            <w:tcMar>
              <w:top w:type="dxa" w:w="80"/>
              <w:left w:type="dxa" w:w="100"/>
              <w:bottom w:type="dxa" w:w="80"/>
              <w:right w:type="dxa" w:w="100"/>
            </w:tcMar>
            <w:vAlign w:val="center"/>
          </w:tcPr>
          <w:p>
            <w:pPr>
              <w:spacing w:after="40"/>
            </w:pPr>
            <w:r>
              <w:rPr>
                <w:sz w:val="19"/>
                <w:szCs w:val="19"/>
              </w:rPr>
              <w:t xml:space="preserve">–</w:t>
            </w:r>
          </w:p>
        </w:tc>
      </w:tr>
      <w:tr>
        <w:tc>
          <w:tcPr>
            <w:tcW w:type="dxa" w:w="2000"/>
            <w:shd w:fill="F5F8F6" w:val="clear"/>
            <w:tcMar>
              <w:top w:type="dxa" w:w="80"/>
              <w:left w:type="dxa" w:w="100"/>
              <w:bottom w:type="dxa" w:w="80"/>
              <w:right w:type="dxa" w:w="100"/>
            </w:tcMar>
            <w:vAlign w:val="center"/>
          </w:tcPr>
          <w:p>
            <w:pPr>
              <w:spacing w:after="40"/>
            </w:pPr>
            <w:r>
              <w:rPr>
                <w:sz w:val="19"/>
                <w:szCs w:val="19"/>
              </w:rPr>
              <w:t xml:space="preserve">Cache Layer</w:t>
            </w:r>
          </w:p>
        </w:tc>
        <w:tc>
          <w:tcPr>
            <w:tcW w:type="dxa" w:w="3300"/>
            <w:shd w:fill="F5F8F6" w:val="clear"/>
            <w:tcMar>
              <w:top w:type="dxa" w:w="80"/>
              <w:left w:type="dxa" w:w="100"/>
              <w:bottom w:type="dxa" w:w="80"/>
              <w:right w:type="dxa" w:w="100"/>
            </w:tcMar>
            <w:vAlign w:val="center"/>
          </w:tcPr>
          <w:p>
            <w:pPr>
              <w:spacing w:after="40"/>
            </w:pPr>
            <w:r>
              <w:rPr>
                <w:sz w:val="19"/>
                <w:szCs w:val="19"/>
              </w:rPr>
              <w:t xml:space="preserve">Low-latency access to hot data: prices, sessions</w:t>
            </w:r>
          </w:p>
        </w:tc>
        <w:tc>
          <w:tcPr>
            <w:tcW w:type="dxa" w:w="2200"/>
            <w:shd w:fill="F5F8F6" w:val="clear"/>
            <w:tcMar>
              <w:top w:type="dxa" w:w="80"/>
              <w:left w:type="dxa" w:w="100"/>
              <w:bottom w:type="dxa" w:w="80"/>
              <w:right w:type="dxa" w:w="100"/>
            </w:tcMar>
            <w:vAlign w:val="center"/>
          </w:tcPr>
          <w:p>
            <w:pPr>
              <w:spacing w:after="40"/>
            </w:pPr>
            <w:r>
              <w:rPr>
                <w:sz w:val="19"/>
                <w:szCs w:val="19"/>
              </w:rPr>
              <w:t xml:space="preserve">Redis</w:t>
            </w:r>
          </w:p>
        </w:tc>
        <w:tc>
          <w:tcPr>
            <w:tcW w:type="dxa" w:w="2000"/>
            <w:shd w:fill="F5F8F6" w:val="clear"/>
            <w:tcMar>
              <w:top w:type="dxa" w:w="80"/>
              <w:left w:type="dxa" w:w="100"/>
              <w:bottom w:type="dxa" w:w="80"/>
              <w:right w:type="dxa" w:w="100"/>
            </w:tcMar>
            <w:vAlign w:val="center"/>
          </w:tcPr>
          <w:p>
            <w:pPr>
              <w:spacing w:after="40"/>
            </w:pPr>
            <w:r>
              <w:rPr>
                <w:sz w:val="19"/>
                <w:szCs w:val="19"/>
              </w:rPr>
              <w:t xml:space="preserve">–</w:t>
            </w:r>
          </w:p>
        </w:tc>
      </w:tr>
      <w:tr>
        <w:tc>
          <w:tcPr>
            <w:tcW w:type="dxa" w:w="2000"/>
            <w:tcMar>
              <w:top w:type="dxa" w:w="80"/>
              <w:left w:type="dxa" w:w="100"/>
              <w:bottom w:type="dxa" w:w="80"/>
              <w:right w:type="dxa" w:w="100"/>
            </w:tcMar>
            <w:vAlign w:val="center"/>
          </w:tcPr>
          <w:p>
            <w:pPr>
              <w:spacing w:after="40"/>
            </w:pPr>
            <w:r>
              <w:rPr>
                <w:sz w:val="19"/>
                <w:szCs w:val="19"/>
              </w:rPr>
              <w:t xml:space="preserve">Object Storage + CDN</w:t>
            </w:r>
          </w:p>
        </w:tc>
        <w:tc>
          <w:tcPr>
            <w:tcW w:type="dxa" w:w="3300"/>
            <w:tcMar>
              <w:top w:type="dxa" w:w="80"/>
              <w:left w:type="dxa" w:w="100"/>
              <w:bottom w:type="dxa" w:w="80"/>
              <w:right w:type="dxa" w:w="100"/>
            </w:tcMar>
            <w:vAlign w:val="center"/>
          </w:tcPr>
          <w:p>
            <w:pPr>
              <w:spacing w:after="40"/>
            </w:pPr>
            <w:r>
              <w:rPr>
                <w:sz w:val="19"/>
                <w:szCs w:val="19"/>
              </w:rPr>
              <w:t xml:space="preserve">Durable storage and edge delivery of crop photos, static assets</w:t>
            </w:r>
          </w:p>
        </w:tc>
        <w:tc>
          <w:tcPr>
            <w:tcW w:type="dxa" w:w="2200"/>
            <w:tcMar>
              <w:top w:type="dxa" w:w="80"/>
              <w:left w:type="dxa" w:w="100"/>
              <w:bottom w:type="dxa" w:w="80"/>
              <w:right w:type="dxa" w:w="100"/>
            </w:tcMar>
            <w:vAlign w:val="center"/>
          </w:tcPr>
          <w:p>
            <w:pPr>
              <w:spacing w:after="40"/>
            </w:pPr>
            <w:r>
              <w:rPr>
                <w:sz w:val="19"/>
                <w:szCs w:val="19"/>
              </w:rPr>
              <w:t xml:space="preserve">S3-compatible storage + CDN</w:t>
            </w:r>
          </w:p>
        </w:tc>
        <w:tc>
          <w:tcPr>
            <w:tcW w:type="dxa" w:w="2000"/>
            <w:tcMar>
              <w:top w:type="dxa" w:w="80"/>
              <w:left w:type="dxa" w:w="100"/>
              <w:bottom w:type="dxa" w:w="80"/>
              <w:right w:type="dxa" w:w="100"/>
            </w:tcMar>
            <w:vAlign w:val="center"/>
          </w:tcPr>
          <w:p>
            <w:pPr>
              <w:spacing w:after="40"/>
            </w:pPr>
            <w:r>
              <w:rPr>
                <w:sz w:val="19"/>
                <w:szCs w:val="19"/>
              </w:rPr>
              <w:t xml:space="preserve">–</w:t>
            </w:r>
          </w:p>
        </w:tc>
      </w:tr>
    </w:tbl>
    <w:p>
      <w:pPr>
        <w:pStyle w:val="Heading1"/>
        <w:spacing w:after="180" w:before="360"/>
      </w:pPr>
      <w:r>
        <w:t xml:space="preserve">5. Detailed Module Design</w:t>
      </w:r>
    </w:p>
    <w:p>
      <w:pPr>
        <w:spacing w:after="160" w:line="300"/>
      </w:pPr>
      <w:r>
        <w:t xml:space="preserve">This section elaborates each of the six core microservices identified in Sections 3 and 4: their responsibilities, a representative sample of REST endpoints (full API specifications will be finalised during implementation), and the data entities each service owns.</w:t>
      </w:r>
    </w:p>
    <w:p>
      <w:pPr>
        <w:pStyle w:val="Heading3"/>
        <w:spacing w:after="100" w:before="200"/>
      </w:pPr>
      <w:r>
        <w:t xml:space="preserve">5.1 User &amp; Auth Service</w:t>
      </w:r>
    </w:p>
    <w:p>
      <w:pPr>
        <w:spacing w:after="160" w:line="300"/>
      </w:pPr>
      <w:r>
        <w:rPr>
          <w:b/>
          <w:bCs/>
        </w:rPr>
        <w:t xml:space="preserve">Responsibilities:</w:t>
      </w:r>
    </w:p>
    <w:p>
      <w:pPr>
        <w:pStyle w:val="ListParagraph"/>
        <w:numPr>
          <w:ilvl w:val="1"/>
          <w:numId w:val="2"/>
        </w:numPr>
        <w:spacing w:after="90" w:line="280"/>
      </w:pPr>
      <w:r>
        <w:t xml:space="preserve">Register new users with role selection (Farmer, Distributor, Retailer, Logistics Partner).</w:t>
      </w:r>
    </w:p>
    <w:p>
      <w:pPr>
        <w:pStyle w:val="ListParagraph"/>
        <w:numPr>
          <w:ilvl w:val="1"/>
          <w:numId w:val="2"/>
        </w:numPr>
        <w:spacing w:after="90" w:line="280"/>
      </w:pPr>
      <w:r>
        <w:t xml:space="preserve">Authenticate users via OTP (mobile) or email/password, issuing JWTs.</w:t>
      </w:r>
    </w:p>
    <w:p>
      <w:pPr>
        <w:pStyle w:val="ListParagraph"/>
        <w:numPr>
          <w:ilvl w:val="1"/>
          <w:numId w:val="2"/>
        </w:numPr>
        <w:spacing w:after="90" w:line="280"/>
      </w:pPr>
      <w:r>
        <w:t xml:space="preserve">Support administrator verification of new registrations before granting full access.</w:t>
      </w:r>
    </w:p>
    <w:p>
      <w:pPr>
        <w:pStyle w:val="ListParagraph"/>
        <w:numPr>
          <w:ilvl w:val="1"/>
          <w:numId w:val="2"/>
        </w:numPr>
        <w:spacing w:after="90" w:line="280"/>
      </w:pPr>
      <w:r>
        <w:t xml:space="preserve">Manage profile edits and password resets.</w:t>
      </w:r>
    </w:p>
    <w:p>
      <w:pPr>
        <w:pStyle w:val="ListParagraph"/>
        <w:numPr>
          <w:ilvl w:val="1"/>
          <w:numId w:val="2"/>
        </w:numPr>
        <w:spacing w:after="90" w:line="280"/>
      </w:pPr>
      <w:r>
        <w:t xml:space="preserve">Expose role information consumed by the API Gateway for access control.</w:t>
      </w:r>
    </w:p>
    <w:p>
      <w:pPr>
        <w:spacing w:after="160" w:line="300"/>
      </w:pPr>
      <w:r>
        <w:rPr>
          <w:b/>
          <w:bCs/>
        </w:rPr>
        <w:t xml:space="preserve">Sample REST Endpoints: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3500"/>
      </w:tblGrid>
      <w:tr>
        <w:trPr>
          <w:tblHeader/>
        </w:trPr>
        <w:tc>
          <w:tcPr>
            <w:tcW w:type="dxa" w:w="1200"/>
            <w:shd w:fill="1F3A2D" w:val="clear"/>
            <w:tcMar>
              <w:top w:type="dxa" w:w="80"/>
              <w:left w:type="dxa" w:w="100"/>
              <w:bottom w:type="dxa" w:w="80"/>
              <w:right w:type="dxa" w:w="100"/>
            </w:tcMar>
            <w:vAlign w:val="center"/>
          </w:tcPr>
          <w:p>
            <w:pPr>
              <w:spacing w:after="40"/>
            </w:pPr>
            <w:r>
              <w:rPr>
                <w:b/>
                <w:bCs/>
                <w:color w:val="FFFFFF"/>
                <w:sz w:val="19"/>
                <w:szCs w:val="19"/>
              </w:rPr>
              <w:t xml:space="preserve">Method</w:t>
            </w:r>
          </w:p>
        </w:tc>
        <w:tc>
          <w:tcPr>
            <w:tcW w:type="dxa" w:w="3800"/>
            <w:shd w:fill="1F3A2D" w:val="clear"/>
            <w:tcMar>
              <w:top w:type="dxa" w:w="80"/>
              <w:left w:type="dxa" w:w="100"/>
              <w:bottom w:type="dxa" w:w="80"/>
              <w:right w:type="dxa" w:w="100"/>
            </w:tcMar>
            <w:vAlign w:val="center"/>
          </w:tcPr>
          <w:p>
            <w:pPr>
              <w:spacing w:after="40"/>
            </w:pPr>
            <w:r>
              <w:rPr>
                <w:b/>
                <w:bCs/>
                <w:color w:val="FFFFFF"/>
                <w:sz w:val="19"/>
                <w:szCs w:val="19"/>
              </w:rPr>
              <w:t xml:space="preserve">Endpoint</w:t>
            </w:r>
          </w:p>
        </w:tc>
        <w:tc>
          <w:tcPr>
            <w:tcW w:type="dxa" w:w="3500"/>
            <w:shd w:fill="1F3A2D" w:val="clear"/>
            <w:tcMar>
              <w:top w:type="dxa" w:w="80"/>
              <w:left w:type="dxa" w:w="100"/>
              <w:bottom w:type="dxa" w:w="80"/>
              <w:right w:type="dxa" w:w="100"/>
            </w:tcMar>
            <w:vAlign w:val="center"/>
          </w:tcPr>
          <w:p>
            <w:pPr>
              <w:spacing w:after="40"/>
            </w:pPr>
            <w:r>
              <w:rPr>
                <w:b/>
                <w:bCs/>
                <w:color w:val="FFFFFF"/>
                <w:sz w:val="19"/>
                <w:szCs w:val="19"/>
              </w:rPr>
              <w:t xml:space="preserve">Description</w:t>
            </w:r>
          </w:p>
        </w:tc>
      </w:tr>
      <w:tr>
        <w:tc>
          <w:tcPr>
            <w:tcW w:type="dxa" w:w="1200"/>
            <w:tcMar>
              <w:top w:type="dxa" w:w="80"/>
              <w:left w:type="dxa" w:w="100"/>
              <w:bottom w:type="dxa" w:w="80"/>
              <w:right w:type="dxa" w:w="100"/>
            </w:tcMar>
            <w:vAlign w:val="center"/>
          </w:tcPr>
          <w:p>
            <w:pPr>
              <w:spacing w:after="40"/>
            </w:pPr>
            <w:r>
              <w:rPr>
                <w:sz w:val="19"/>
                <w:szCs w:val="19"/>
              </w:rPr>
              <w:t xml:space="preserve">POST</w:t>
            </w:r>
          </w:p>
        </w:tc>
        <w:tc>
          <w:tcPr>
            <w:tcW w:type="dxa" w:w="3800"/>
            <w:tcMar>
              <w:top w:type="dxa" w:w="80"/>
              <w:left w:type="dxa" w:w="100"/>
              <w:bottom w:type="dxa" w:w="80"/>
              <w:right w:type="dxa" w:w="100"/>
            </w:tcMar>
            <w:vAlign w:val="center"/>
          </w:tcPr>
          <w:p>
            <w:pPr>
              <w:spacing w:after="40"/>
            </w:pPr>
            <w:r>
              <w:rPr>
                <w:sz w:val="19"/>
                <w:szCs w:val="19"/>
              </w:rPr>
              <w:t xml:space="preserve">/api/v1/auth/register</w:t>
            </w:r>
          </w:p>
        </w:tc>
        <w:tc>
          <w:tcPr>
            <w:tcW w:type="dxa" w:w="3500"/>
            <w:tcMar>
              <w:top w:type="dxa" w:w="80"/>
              <w:left w:type="dxa" w:w="100"/>
              <w:bottom w:type="dxa" w:w="80"/>
              <w:right w:type="dxa" w:w="100"/>
            </w:tcMar>
            <w:vAlign w:val="center"/>
          </w:tcPr>
          <w:p>
            <w:pPr>
              <w:spacing w:after="40"/>
            </w:pPr>
            <w:r>
              <w:rPr>
                <w:sz w:val="19"/>
                <w:szCs w:val="19"/>
              </w:rPr>
              <w:t xml:space="preserve">Register a new user with a selected role</w:t>
            </w:r>
          </w:p>
        </w:tc>
      </w:tr>
      <w:tr>
        <w:tc>
          <w:tcPr>
            <w:tcW w:type="dxa" w:w="1200"/>
            <w:shd w:fill="F5F8F6" w:val="clear"/>
            <w:tcMar>
              <w:top w:type="dxa" w:w="80"/>
              <w:left w:type="dxa" w:w="100"/>
              <w:bottom w:type="dxa" w:w="80"/>
              <w:right w:type="dxa" w:w="100"/>
            </w:tcMar>
            <w:vAlign w:val="center"/>
          </w:tcPr>
          <w:p>
            <w:pPr>
              <w:spacing w:after="40"/>
            </w:pPr>
            <w:r>
              <w:rPr>
                <w:sz w:val="19"/>
                <w:szCs w:val="19"/>
              </w:rPr>
              <w:t xml:space="preserve">POST</w:t>
            </w:r>
          </w:p>
        </w:tc>
        <w:tc>
          <w:tcPr>
            <w:tcW w:type="dxa" w:w="3800"/>
            <w:shd w:fill="F5F8F6" w:val="clear"/>
            <w:tcMar>
              <w:top w:type="dxa" w:w="80"/>
              <w:left w:type="dxa" w:w="100"/>
              <w:bottom w:type="dxa" w:w="80"/>
              <w:right w:type="dxa" w:w="100"/>
            </w:tcMar>
            <w:vAlign w:val="center"/>
          </w:tcPr>
          <w:p>
            <w:pPr>
              <w:spacing w:after="40"/>
            </w:pPr>
            <w:r>
              <w:rPr>
                <w:sz w:val="19"/>
                <w:szCs w:val="19"/>
              </w:rPr>
              <w:t xml:space="preserve">/api/v1/auth/login</w:t>
            </w:r>
          </w:p>
        </w:tc>
        <w:tc>
          <w:tcPr>
            <w:tcW w:type="dxa" w:w="3500"/>
            <w:shd w:fill="F5F8F6" w:val="clear"/>
            <w:tcMar>
              <w:top w:type="dxa" w:w="80"/>
              <w:left w:type="dxa" w:w="100"/>
              <w:bottom w:type="dxa" w:w="80"/>
              <w:right w:type="dxa" w:w="100"/>
            </w:tcMar>
            <w:vAlign w:val="center"/>
          </w:tcPr>
          <w:p>
            <w:pPr>
              <w:spacing w:after="40"/>
            </w:pPr>
            <w:r>
              <w:rPr>
                <w:sz w:val="19"/>
                <w:szCs w:val="19"/>
              </w:rPr>
              <w:t xml:space="preserve">Authenticate via OTP or password, issue JWT</w:t>
            </w:r>
          </w:p>
        </w:tc>
      </w:tr>
      <w:tr>
        <w:tc>
          <w:tcPr>
            <w:tcW w:type="dxa" w:w="1200"/>
            <w:tcMar>
              <w:top w:type="dxa" w:w="80"/>
              <w:left w:type="dxa" w:w="100"/>
              <w:bottom w:type="dxa" w:w="80"/>
              <w:right w:type="dxa" w:w="100"/>
            </w:tcMar>
            <w:vAlign w:val="center"/>
          </w:tcPr>
          <w:p>
            <w:pPr>
              <w:spacing w:after="40"/>
            </w:pPr>
            <w:r>
              <w:rPr>
                <w:sz w:val="19"/>
                <w:szCs w:val="19"/>
              </w:rPr>
              <w:t xml:space="preserve">GET</w:t>
            </w:r>
          </w:p>
        </w:tc>
        <w:tc>
          <w:tcPr>
            <w:tcW w:type="dxa" w:w="3800"/>
            <w:tcMar>
              <w:top w:type="dxa" w:w="80"/>
              <w:left w:type="dxa" w:w="100"/>
              <w:bottom w:type="dxa" w:w="80"/>
              <w:right w:type="dxa" w:w="100"/>
            </w:tcMar>
            <w:vAlign w:val="center"/>
          </w:tcPr>
          <w:p>
            <w:pPr>
              <w:spacing w:after="40"/>
            </w:pPr>
            <w:r>
              <w:rPr>
                <w:sz w:val="19"/>
                <w:szCs w:val="19"/>
              </w:rPr>
              <w:t xml:space="preserve">/api/v1/users/{id}</w:t>
            </w:r>
          </w:p>
        </w:tc>
        <w:tc>
          <w:tcPr>
            <w:tcW w:type="dxa" w:w="3500"/>
            <w:tcMar>
              <w:top w:type="dxa" w:w="80"/>
              <w:left w:type="dxa" w:w="100"/>
              <w:bottom w:type="dxa" w:w="80"/>
              <w:right w:type="dxa" w:w="100"/>
            </w:tcMar>
            <w:vAlign w:val="center"/>
          </w:tcPr>
          <w:p>
            <w:pPr>
              <w:spacing w:after="40"/>
            </w:pPr>
            <w:r>
              <w:rPr>
                <w:sz w:val="19"/>
                <w:szCs w:val="19"/>
              </w:rPr>
              <w:t xml:space="preserve">Retrieve a user profile</w:t>
            </w:r>
          </w:p>
        </w:tc>
      </w:tr>
      <w:tr>
        <w:tc>
          <w:tcPr>
            <w:tcW w:type="dxa" w:w="1200"/>
            <w:shd w:fill="F5F8F6" w:val="clear"/>
            <w:tcMar>
              <w:top w:type="dxa" w:w="80"/>
              <w:left w:type="dxa" w:w="100"/>
              <w:bottom w:type="dxa" w:w="80"/>
              <w:right w:type="dxa" w:w="100"/>
            </w:tcMar>
            <w:vAlign w:val="center"/>
          </w:tcPr>
          <w:p>
            <w:pPr>
              <w:spacing w:after="40"/>
            </w:pPr>
            <w:r>
              <w:rPr>
                <w:sz w:val="19"/>
                <w:szCs w:val="19"/>
              </w:rPr>
              <w:t xml:space="preserve">PATCH</w:t>
            </w:r>
          </w:p>
        </w:tc>
        <w:tc>
          <w:tcPr>
            <w:tcW w:type="dxa" w:w="3800"/>
            <w:shd w:fill="F5F8F6" w:val="clear"/>
            <w:tcMar>
              <w:top w:type="dxa" w:w="80"/>
              <w:left w:type="dxa" w:w="100"/>
              <w:bottom w:type="dxa" w:w="80"/>
              <w:right w:type="dxa" w:w="100"/>
            </w:tcMar>
            <w:vAlign w:val="center"/>
          </w:tcPr>
          <w:p>
            <w:pPr>
              <w:spacing w:after="40"/>
            </w:pPr>
            <w:r>
              <w:rPr>
                <w:sz w:val="19"/>
                <w:szCs w:val="19"/>
              </w:rPr>
              <w:t xml:space="preserve">/api/v1/users/{id}</w:t>
            </w:r>
          </w:p>
        </w:tc>
        <w:tc>
          <w:tcPr>
            <w:tcW w:type="dxa" w:w="3500"/>
            <w:shd w:fill="F5F8F6" w:val="clear"/>
            <w:tcMar>
              <w:top w:type="dxa" w:w="80"/>
              <w:left w:type="dxa" w:w="100"/>
              <w:bottom w:type="dxa" w:w="80"/>
              <w:right w:type="dxa" w:w="100"/>
            </w:tcMar>
            <w:vAlign w:val="center"/>
          </w:tcPr>
          <w:p>
            <w:pPr>
              <w:spacing w:after="40"/>
            </w:pPr>
            <w:r>
              <w:rPr>
                <w:sz w:val="19"/>
                <w:szCs w:val="19"/>
              </w:rPr>
              <w:t xml:space="preserve">Update profile details</w:t>
            </w:r>
          </w:p>
        </w:tc>
      </w:tr>
    </w:tbl>
    <w:p>
      <w:pPr>
        <w:spacing w:after="160" w:line="300"/>
      </w:pPr>
      <w:r>
        <w:rPr>
          <w:b/>
          <w:bCs/>
        </w:rPr>
        <w:t xml:space="preserve">Data Owned: </w:t>
      </w:r>
      <w:r>
        <w:t xml:space="preserve">User, Role, VerificationStatus.</w:t>
      </w:r>
    </w:p>
    <w:p>
      <w:pPr>
        <w:pStyle w:val="Heading3"/>
        <w:spacing w:after="100" w:before="200"/>
      </w:pPr>
      <w:r>
        <w:t xml:space="preserve">5.2 Crop Listing &amp; Inventory Service</w:t>
      </w:r>
    </w:p>
    <w:p>
      <w:pPr>
        <w:spacing w:after="160" w:line="300"/>
      </w:pPr>
      <w:r>
        <w:rPr>
          <w:b/>
          <w:bCs/>
        </w:rPr>
        <w:t xml:space="preserve">Responsibilities:</w:t>
      </w:r>
    </w:p>
    <w:p>
      <w:pPr>
        <w:pStyle w:val="ListParagraph"/>
        <w:numPr>
          <w:ilvl w:val="1"/>
          <w:numId w:val="2"/>
        </w:numPr>
        <w:spacing w:after="90" w:line="280"/>
      </w:pPr>
      <w:r>
        <w:t xml:space="preserve">Create, edit, and deactivate crop listings.</w:t>
      </w:r>
    </w:p>
    <w:p>
      <w:pPr>
        <w:pStyle w:val="ListParagraph"/>
        <w:numPr>
          <w:ilvl w:val="1"/>
          <w:numId w:val="2"/>
        </w:numPr>
        <w:spacing w:after="90" w:line="280"/>
      </w:pPr>
      <w:r>
        <w:t xml:space="preserve">Support search and filtering by crop type, location, price range, and quantity.</w:t>
      </w:r>
    </w:p>
    <w:p>
      <w:pPr>
        <w:pStyle w:val="ListParagraph"/>
        <w:numPr>
          <w:ilvl w:val="1"/>
          <w:numId w:val="2"/>
        </w:numPr>
        <w:spacing w:after="90" w:line="280"/>
      </w:pPr>
      <w:r>
        <w:t xml:space="preserve">Flag listings nearing their harvest or expiry date.</w:t>
      </w:r>
    </w:p>
    <w:p>
      <w:pPr>
        <w:pStyle w:val="ListParagraph"/>
        <w:numPr>
          <w:ilvl w:val="1"/>
          <w:numId w:val="2"/>
        </w:numPr>
        <w:spacing w:after="90" w:line="280"/>
      </w:pPr>
      <w:r>
        <w:t xml:space="preserve">Maintain a listing history per farmer.</w:t>
      </w:r>
    </w:p>
    <w:p>
      <w:pPr>
        <w:spacing w:after="160" w:line="300"/>
      </w:pPr>
      <w:r>
        <w:rPr>
          <w:b/>
          <w:bCs/>
        </w:rPr>
        <w:t xml:space="preserve">Sample REST Endpoints: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3500"/>
      </w:tblGrid>
      <w:tr>
        <w:trPr>
          <w:tblHeader/>
        </w:trPr>
        <w:tc>
          <w:tcPr>
            <w:tcW w:type="dxa" w:w="1200"/>
            <w:shd w:fill="1F3A2D" w:val="clear"/>
            <w:tcMar>
              <w:top w:type="dxa" w:w="80"/>
              <w:left w:type="dxa" w:w="100"/>
              <w:bottom w:type="dxa" w:w="80"/>
              <w:right w:type="dxa" w:w="100"/>
            </w:tcMar>
            <w:vAlign w:val="center"/>
          </w:tcPr>
          <w:p>
            <w:pPr>
              <w:spacing w:after="40"/>
            </w:pPr>
            <w:r>
              <w:rPr>
                <w:b/>
                <w:bCs/>
                <w:color w:val="FFFFFF"/>
                <w:sz w:val="19"/>
                <w:szCs w:val="19"/>
              </w:rPr>
              <w:t xml:space="preserve">Method</w:t>
            </w:r>
          </w:p>
        </w:tc>
        <w:tc>
          <w:tcPr>
            <w:tcW w:type="dxa" w:w="3800"/>
            <w:shd w:fill="1F3A2D" w:val="clear"/>
            <w:tcMar>
              <w:top w:type="dxa" w:w="80"/>
              <w:left w:type="dxa" w:w="100"/>
              <w:bottom w:type="dxa" w:w="80"/>
              <w:right w:type="dxa" w:w="100"/>
            </w:tcMar>
            <w:vAlign w:val="center"/>
          </w:tcPr>
          <w:p>
            <w:pPr>
              <w:spacing w:after="40"/>
            </w:pPr>
            <w:r>
              <w:rPr>
                <w:b/>
                <w:bCs/>
                <w:color w:val="FFFFFF"/>
                <w:sz w:val="19"/>
                <w:szCs w:val="19"/>
              </w:rPr>
              <w:t xml:space="preserve">Endpoint</w:t>
            </w:r>
          </w:p>
        </w:tc>
        <w:tc>
          <w:tcPr>
            <w:tcW w:type="dxa" w:w="3500"/>
            <w:shd w:fill="1F3A2D" w:val="clear"/>
            <w:tcMar>
              <w:top w:type="dxa" w:w="80"/>
              <w:left w:type="dxa" w:w="100"/>
              <w:bottom w:type="dxa" w:w="80"/>
              <w:right w:type="dxa" w:w="100"/>
            </w:tcMar>
            <w:vAlign w:val="center"/>
          </w:tcPr>
          <w:p>
            <w:pPr>
              <w:spacing w:after="40"/>
            </w:pPr>
            <w:r>
              <w:rPr>
                <w:b/>
                <w:bCs/>
                <w:color w:val="FFFFFF"/>
                <w:sz w:val="19"/>
                <w:szCs w:val="19"/>
              </w:rPr>
              <w:t xml:space="preserve">Description</w:t>
            </w:r>
          </w:p>
        </w:tc>
      </w:tr>
      <w:tr>
        <w:tc>
          <w:tcPr>
            <w:tcW w:type="dxa" w:w="1200"/>
            <w:tcMar>
              <w:top w:type="dxa" w:w="80"/>
              <w:left w:type="dxa" w:w="100"/>
              <w:bottom w:type="dxa" w:w="80"/>
              <w:right w:type="dxa" w:w="100"/>
            </w:tcMar>
            <w:vAlign w:val="center"/>
          </w:tcPr>
          <w:p>
            <w:pPr>
              <w:spacing w:after="40"/>
            </w:pPr>
            <w:r>
              <w:rPr>
                <w:sz w:val="19"/>
                <w:szCs w:val="19"/>
              </w:rPr>
              <w:t xml:space="preserve">POST</w:t>
            </w:r>
          </w:p>
        </w:tc>
        <w:tc>
          <w:tcPr>
            <w:tcW w:type="dxa" w:w="3800"/>
            <w:tcMar>
              <w:top w:type="dxa" w:w="80"/>
              <w:left w:type="dxa" w:w="100"/>
              <w:bottom w:type="dxa" w:w="80"/>
              <w:right w:type="dxa" w:w="100"/>
            </w:tcMar>
            <w:vAlign w:val="center"/>
          </w:tcPr>
          <w:p>
            <w:pPr>
              <w:spacing w:after="40"/>
            </w:pPr>
            <w:r>
              <w:rPr>
                <w:sz w:val="19"/>
                <w:szCs w:val="19"/>
              </w:rPr>
              <w:t xml:space="preserve">/api/v1/listings</w:t>
            </w:r>
          </w:p>
        </w:tc>
        <w:tc>
          <w:tcPr>
            <w:tcW w:type="dxa" w:w="3500"/>
            <w:tcMar>
              <w:top w:type="dxa" w:w="80"/>
              <w:left w:type="dxa" w:w="100"/>
              <w:bottom w:type="dxa" w:w="80"/>
              <w:right w:type="dxa" w:w="100"/>
            </w:tcMar>
            <w:vAlign w:val="center"/>
          </w:tcPr>
          <w:p>
            <w:pPr>
              <w:spacing w:after="40"/>
            </w:pPr>
            <w:r>
              <w:rPr>
                <w:sz w:val="19"/>
                <w:szCs w:val="19"/>
              </w:rPr>
              <w:t xml:space="preserve">Create a new crop listing</w:t>
            </w:r>
          </w:p>
        </w:tc>
      </w:tr>
      <w:tr>
        <w:tc>
          <w:tcPr>
            <w:tcW w:type="dxa" w:w="1200"/>
            <w:shd w:fill="F5F8F6" w:val="clear"/>
            <w:tcMar>
              <w:top w:type="dxa" w:w="80"/>
              <w:left w:type="dxa" w:w="100"/>
              <w:bottom w:type="dxa" w:w="80"/>
              <w:right w:type="dxa" w:w="100"/>
            </w:tcMar>
            <w:vAlign w:val="center"/>
          </w:tcPr>
          <w:p>
            <w:pPr>
              <w:spacing w:after="40"/>
            </w:pPr>
            <w:r>
              <w:rPr>
                <w:sz w:val="19"/>
                <w:szCs w:val="19"/>
              </w:rPr>
              <w:t xml:space="preserve">GET</w:t>
            </w:r>
          </w:p>
        </w:tc>
        <w:tc>
          <w:tcPr>
            <w:tcW w:type="dxa" w:w="3800"/>
            <w:shd w:fill="F5F8F6" w:val="clear"/>
            <w:tcMar>
              <w:top w:type="dxa" w:w="80"/>
              <w:left w:type="dxa" w:w="100"/>
              <w:bottom w:type="dxa" w:w="80"/>
              <w:right w:type="dxa" w:w="100"/>
            </w:tcMar>
            <w:vAlign w:val="center"/>
          </w:tcPr>
          <w:p>
            <w:pPr>
              <w:spacing w:after="40"/>
            </w:pPr>
            <w:r>
              <w:rPr>
                <w:sz w:val="19"/>
                <w:szCs w:val="19"/>
              </w:rPr>
              <w:t xml:space="preserve">/api/v1/listings</w:t>
            </w:r>
          </w:p>
        </w:tc>
        <w:tc>
          <w:tcPr>
            <w:tcW w:type="dxa" w:w="3500"/>
            <w:shd w:fill="F5F8F6" w:val="clear"/>
            <w:tcMar>
              <w:top w:type="dxa" w:w="80"/>
              <w:left w:type="dxa" w:w="100"/>
              <w:bottom w:type="dxa" w:w="80"/>
              <w:right w:type="dxa" w:w="100"/>
            </w:tcMar>
            <w:vAlign w:val="center"/>
          </w:tcPr>
          <w:p>
            <w:pPr>
              <w:spacing w:after="40"/>
            </w:pPr>
            <w:r>
              <w:rPr>
                <w:sz w:val="19"/>
                <w:szCs w:val="19"/>
              </w:rPr>
              <w:t xml:space="preserve">Search/filter active listings</w:t>
            </w:r>
          </w:p>
        </w:tc>
      </w:tr>
      <w:tr>
        <w:tc>
          <w:tcPr>
            <w:tcW w:type="dxa" w:w="1200"/>
            <w:tcMar>
              <w:top w:type="dxa" w:w="80"/>
              <w:left w:type="dxa" w:w="100"/>
              <w:bottom w:type="dxa" w:w="80"/>
              <w:right w:type="dxa" w:w="100"/>
            </w:tcMar>
            <w:vAlign w:val="center"/>
          </w:tcPr>
          <w:p>
            <w:pPr>
              <w:spacing w:after="40"/>
            </w:pPr>
            <w:r>
              <w:rPr>
                <w:sz w:val="19"/>
                <w:szCs w:val="19"/>
              </w:rPr>
              <w:t xml:space="preserve">PATCH</w:t>
            </w:r>
          </w:p>
        </w:tc>
        <w:tc>
          <w:tcPr>
            <w:tcW w:type="dxa" w:w="3800"/>
            <w:tcMar>
              <w:top w:type="dxa" w:w="80"/>
              <w:left w:type="dxa" w:w="100"/>
              <w:bottom w:type="dxa" w:w="80"/>
              <w:right w:type="dxa" w:w="100"/>
            </w:tcMar>
            <w:vAlign w:val="center"/>
          </w:tcPr>
          <w:p>
            <w:pPr>
              <w:spacing w:after="40"/>
            </w:pPr>
            <w:r>
              <w:rPr>
                <w:sz w:val="19"/>
                <w:szCs w:val="19"/>
              </w:rPr>
              <w:t xml:space="preserve">/api/v1/listings/{id}</w:t>
            </w:r>
          </w:p>
        </w:tc>
        <w:tc>
          <w:tcPr>
            <w:tcW w:type="dxa" w:w="3500"/>
            <w:tcMar>
              <w:top w:type="dxa" w:w="80"/>
              <w:left w:type="dxa" w:w="100"/>
              <w:bottom w:type="dxa" w:w="80"/>
              <w:right w:type="dxa" w:w="100"/>
            </w:tcMar>
            <w:vAlign w:val="center"/>
          </w:tcPr>
          <w:p>
            <w:pPr>
              <w:spacing w:after="40"/>
            </w:pPr>
            <w:r>
              <w:rPr>
                <w:sz w:val="19"/>
                <w:szCs w:val="19"/>
              </w:rPr>
              <w:t xml:space="preserve">Edit or deactivate a listing</w:t>
            </w:r>
          </w:p>
        </w:tc>
      </w:tr>
      <w:tr>
        <w:tc>
          <w:tcPr>
            <w:tcW w:type="dxa" w:w="1200"/>
            <w:shd w:fill="F5F8F6" w:val="clear"/>
            <w:tcMar>
              <w:top w:type="dxa" w:w="80"/>
              <w:left w:type="dxa" w:w="100"/>
              <w:bottom w:type="dxa" w:w="80"/>
              <w:right w:type="dxa" w:w="100"/>
            </w:tcMar>
            <w:vAlign w:val="center"/>
          </w:tcPr>
          <w:p>
            <w:pPr>
              <w:spacing w:after="40"/>
            </w:pPr>
            <w:r>
              <w:rPr>
                <w:sz w:val="19"/>
                <w:szCs w:val="19"/>
              </w:rPr>
              <w:t xml:space="preserve">GET</w:t>
            </w:r>
          </w:p>
        </w:tc>
        <w:tc>
          <w:tcPr>
            <w:tcW w:type="dxa" w:w="3800"/>
            <w:shd w:fill="F5F8F6" w:val="clear"/>
            <w:tcMar>
              <w:top w:type="dxa" w:w="80"/>
              <w:left w:type="dxa" w:w="100"/>
              <w:bottom w:type="dxa" w:w="80"/>
              <w:right w:type="dxa" w:w="100"/>
            </w:tcMar>
            <w:vAlign w:val="center"/>
          </w:tcPr>
          <w:p>
            <w:pPr>
              <w:spacing w:after="40"/>
            </w:pPr>
            <w:r>
              <w:rPr>
                <w:sz w:val="19"/>
                <w:szCs w:val="19"/>
              </w:rPr>
              <w:t xml:space="preserve">/api/v1/listings/{id}/history</w:t>
            </w:r>
          </w:p>
        </w:tc>
        <w:tc>
          <w:tcPr>
            <w:tcW w:type="dxa" w:w="3500"/>
            <w:shd w:fill="F5F8F6" w:val="clear"/>
            <w:tcMar>
              <w:top w:type="dxa" w:w="80"/>
              <w:left w:type="dxa" w:w="100"/>
              <w:bottom w:type="dxa" w:w="80"/>
              <w:right w:type="dxa" w:w="100"/>
            </w:tcMar>
            <w:vAlign w:val="center"/>
          </w:tcPr>
          <w:p>
            <w:pPr>
              <w:spacing w:after="40"/>
            </w:pPr>
            <w:r>
              <w:rPr>
                <w:sz w:val="19"/>
                <w:szCs w:val="19"/>
              </w:rPr>
              <w:t xml:space="preserve">Retrieve a farmer's listing history</w:t>
            </w:r>
          </w:p>
        </w:tc>
      </w:tr>
    </w:tbl>
    <w:p>
      <w:pPr>
        <w:spacing w:after="160" w:line="300"/>
      </w:pPr>
      <w:r>
        <w:rPr>
          <w:b/>
          <w:bCs/>
        </w:rPr>
        <w:t xml:space="preserve">Data Owned: </w:t>
      </w:r>
      <w:r>
        <w:t xml:space="preserve">CropListing, ListingPhoto, ListingHistory.</w:t>
      </w:r>
    </w:p>
    <w:p>
      <w:pPr>
        <w:pStyle w:val="Heading3"/>
        <w:spacing w:after="100" w:before="200"/>
      </w:pPr>
      <w:r>
        <w:t xml:space="preserve">5.3 Market Price Engine</w:t>
      </w:r>
    </w:p>
    <w:p>
      <w:pPr>
        <w:spacing w:after="160" w:line="300"/>
      </w:pPr>
      <w:r>
        <w:rPr>
          <w:b/>
          <w:bCs/>
        </w:rPr>
        <w:t xml:space="preserve">Responsibilities:</w:t>
      </w:r>
    </w:p>
    <w:p>
      <w:pPr>
        <w:pStyle w:val="ListParagraph"/>
        <w:numPr>
          <w:ilvl w:val="1"/>
          <w:numId w:val="2"/>
        </w:numPr>
        <w:spacing w:after="90" w:line="280"/>
      </w:pPr>
      <w:r>
        <w:t xml:space="preserve">Fetch and cache current mandi prices from the government price API.</w:t>
      </w:r>
    </w:p>
    <w:p>
      <w:pPr>
        <w:pStyle w:val="ListParagraph"/>
        <w:numPr>
          <w:ilvl w:val="1"/>
          <w:numId w:val="2"/>
        </w:numPr>
        <w:spacing w:after="90" w:line="280"/>
      </w:pPr>
      <w:r>
        <w:t xml:space="preserve">Calculate 7-day and 30-day price trends.</w:t>
      </w:r>
    </w:p>
    <w:p>
      <w:pPr>
        <w:pStyle w:val="ListParagraph"/>
        <w:numPr>
          <w:ilvl w:val="1"/>
          <w:numId w:val="2"/>
        </w:numPr>
        <w:spacing w:after="90" w:line="280"/>
      </w:pPr>
      <w:r>
        <w:t xml:space="preserve">Support price comparison across nearby markets.</w:t>
      </w:r>
    </w:p>
    <w:p>
      <w:pPr>
        <w:pStyle w:val="ListParagraph"/>
        <w:numPr>
          <w:ilvl w:val="1"/>
          <w:numId w:val="2"/>
        </w:numPr>
        <w:spacing w:after="90" w:line="280"/>
      </w:pPr>
      <w:r>
        <w:t xml:space="preserve">Trigger threshold-based alerts to subscribed farmers.</w:t>
      </w:r>
    </w:p>
    <w:p>
      <w:pPr>
        <w:spacing w:after="160" w:line="300"/>
      </w:pPr>
      <w:r>
        <w:rPr>
          <w:b/>
          <w:bCs/>
        </w:rPr>
        <w:t xml:space="preserve">Sample REST Endpoints: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3500"/>
      </w:tblGrid>
      <w:tr>
        <w:trPr>
          <w:tblHeader/>
        </w:trPr>
        <w:tc>
          <w:tcPr>
            <w:tcW w:type="dxa" w:w="1200"/>
            <w:shd w:fill="1F3A2D" w:val="clear"/>
            <w:tcMar>
              <w:top w:type="dxa" w:w="80"/>
              <w:left w:type="dxa" w:w="100"/>
              <w:bottom w:type="dxa" w:w="80"/>
              <w:right w:type="dxa" w:w="100"/>
            </w:tcMar>
            <w:vAlign w:val="center"/>
          </w:tcPr>
          <w:p>
            <w:pPr>
              <w:spacing w:after="40"/>
            </w:pPr>
            <w:r>
              <w:rPr>
                <w:b/>
                <w:bCs/>
                <w:color w:val="FFFFFF"/>
                <w:sz w:val="19"/>
                <w:szCs w:val="19"/>
              </w:rPr>
              <w:t xml:space="preserve">Method</w:t>
            </w:r>
          </w:p>
        </w:tc>
        <w:tc>
          <w:tcPr>
            <w:tcW w:type="dxa" w:w="3800"/>
            <w:shd w:fill="1F3A2D" w:val="clear"/>
            <w:tcMar>
              <w:top w:type="dxa" w:w="80"/>
              <w:left w:type="dxa" w:w="100"/>
              <w:bottom w:type="dxa" w:w="80"/>
              <w:right w:type="dxa" w:w="100"/>
            </w:tcMar>
            <w:vAlign w:val="center"/>
          </w:tcPr>
          <w:p>
            <w:pPr>
              <w:spacing w:after="40"/>
            </w:pPr>
            <w:r>
              <w:rPr>
                <w:b/>
                <w:bCs/>
                <w:color w:val="FFFFFF"/>
                <w:sz w:val="19"/>
                <w:szCs w:val="19"/>
              </w:rPr>
              <w:t xml:space="preserve">Endpoint</w:t>
            </w:r>
          </w:p>
        </w:tc>
        <w:tc>
          <w:tcPr>
            <w:tcW w:type="dxa" w:w="3500"/>
            <w:shd w:fill="1F3A2D" w:val="clear"/>
            <w:tcMar>
              <w:top w:type="dxa" w:w="80"/>
              <w:left w:type="dxa" w:w="100"/>
              <w:bottom w:type="dxa" w:w="80"/>
              <w:right w:type="dxa" w:w="100"/>
            </w:tcMar>
            <w:vAlign w:val="center"/>
          </w:tcPr>
          <w:p>
            <w:pPr>
              <w:spacing w:after="40"/>
            </w:pPr>
            <w:r>
              <w:rPr>
                <w:b/>
                <w:bCs/>
                <w:color w:val="FFFFFF"/>
                <w:sz w:val="19"/>
                <w:szCs w:val="19"/>
              </w:rPr>
              <w:t xml:space="preserve">Description</w:t>
            </w:r>
          </w:p>
        </w:tc>
      </w:tr>
      <w:tr>
        <w:tc>
          <w:tcPr>
            <w:tcW w:type="dxa" w:w="1200"/>
            <w:tcMar>
              <w:top w:type="dxa" w:w="80"/>
              <w:left w:type="dxa" w:w="100"/>
              <w:bottom w:type="dxa" w:w="80"/>
              <w:right w:type="dxa" w:w="100"/>
            </w:tcMar>
            <w:vAlign w:val="center"/>
          </w:tcPr>
          <w:p>
            <w:pPr>
              <w:spacing w:after="40"/>
            </w:pPr>
            <w:r>
              <w:rPr>
                <w:sz w:val="19"/>
                <w:szCs w:val="19"/>
              </w:rPr>
              <w:t xml:space="preserve">GET</w:t>
            </w:r>
          </w:p>
        </w:tc>
        <w:tc>
          <w:tcPr>
            <w:tcW w:type="dxa" w:w="3800"/>
            <w:tcMar>
              <w:top w:type="dxa" w:w="80"/>
              <w:left w:type="dxa" w:w="100"/>
              <w:bottom w:type="dxa" w:w="80"/>
              <w:right w:type="dxa" w:w="100"/>
            </w:tcMar>
            <w:vAlign w:val="center"/>
          </w:tcPr>
          <w:p>
            <w:pPr>
              <w:spacing w:after="40"/>
            </w:pPr>
            <w:r>
              <w:rPr>
                <w:sz w:val="19"/>
                <w:szCs w:val="19"/>
              </w:rPr>
              <w:t xml:space="preserve">/api/v1/prices/{cropId}</w:t>
            </w:r>
          </w:p>
        </w:tc>
        <w:tc>
          <w:tcPr>
            <w:tcW w:type="dxa" w:w="3500"/>
            <w:tcMar>
              <w:top w:type="dxa" w:w="80"/>
              <w:left w:type="dxa" w:w="100"/>
              <w:bottom w:type="dxa" w:w="80"/>
              <w:right w:type="dxa" w:w="100"/>
            </w:tcMar>
            <w:vAlign w:val="center"/>
          </w:tcPr>
          <w:p>
            <w:pPr>
              <w:spacing w:after="40"/>
            </w:pPr>
            <w:r>
              <w:rPr>
                <w:sz w:val="19"/>
                <w:szCs w:val="19"/>
              </w:rPr>
              <w:t xml:space="preserve">Current price for a crop</w:t>
            </w:r>
          </w:p>
        </w:tc>
      </w:tr>
      <w:tr>
        <w:tc>
          <w:tcPr>
            <w:tcW w:type="dxa" w:w="1200"/>
            <w:shd w:fill="F5F8F6" w:val="clear"/>
            <w:tcMar>
              <w:top w:type="dxa" w:w="80"/>
              <w:left w:type="dxa" w:w="100"/>
              <w:bottom w:type="dxa" w:w="80"/>
              <w:right w:type="dxa" w:w="100"/>
            </w:tcMar>
            <w:vAlign w:val="center"/>
          </w:tcPr>
          <w:p>
            <w:pPr>
              <w:spacing w:after="40"/>
            </w:pPr>
            <w:r>
              <w:rPr>
                <w:sz w:val="19"/>
                <w:szCs w:val="19"/>
              </w:rPr>
              <w:t xml:space="preserve">GET</w:t>
            </w:r>
          </w:p>
        </w:tc>
        <w:tc>
          <w:tcPr>
            <w:tcW w:type="dxa" w:w="3800"/>
            <w:shd w:fill="F5F8F6" w:val="clear"/>
            <w:tcMar>
              <w:top w:type="dxa" w:w="80"/>
              <w:left w:type="dxa" w:w="100"/>
              <w:bottom w:type="dxa" w:w="80"/>
              <w:right w:type="dxa" w:w="100"/>
            </w:tcMar>
            <w:vAlign w:val="center"/>
          </w:tcPr>
          <w:p>
            <w:pPr>
              <w:spacing w:after="40"/>
            </w:pPr>
            <w:r>
              <w:rPr>
                <w:sz w:val="19"/>
                <w:szCs w:val="19"/>
              </w:rPr>
              <w:t xml:space="preserve">/api/v1/prices/{cropId}/trend</w:t>
            </w:r>
          </w:p>
        </w:tc>
        <w:tc>
          <w:tcPr>
            <w:tcW w:type="dxa" w:w="3500"/>
            <w:shd w:fill="F5F8F6" w:val="clear"/>
            <w:tcMar>
              <w:top w:type="dxa" w:w="80"/>
              <w:left w:type="dxa" w:w="100"/>
              <w:bottom w:type="dxa" w:w="80"/>
              <w:right w:type="dxa" w:w="100"/>
            </w:tcMar>
            <w:vAlign w:val="center"/>
          </w:tcPr>
          <w:p>
            <w:pPr>
              <w:spacing w:after="40"/>
            </w:pPr>
            <w:r>
              <w:rPr>
                <w:sz w:val="19"/>
                <w:szCs w:val="19"/>
              </w:rPr>
              <w:t xml:space="preserve">Historical trend for a crop</w:t>
            </w:r>
          </w:p>
        </w:tc>
      </w:tr>
      <w:tr>
        <w:tc>
          <w:tcPr>
            <w:tcW w:type="dxa" w:w="1200"/>
            <w:tcMar>
              <w:top w:type="dxa" w:w="80"/>
              <w:left w:type="dxa" w:w="100"/>
              <w:bottom w:type="dxa" w:w="80"/>
              <w:right w:type="dxa" w:w="100"/>
            </w:tcMar>
            <w:vAlign w:val="center"/>
          </w:tcPr>
          <w:p>
            <w:pPr>
              <w:spacing w:after="40"/>
            </w:pPr>
            <w:r>
              <w:rPr>
                <w:sz w:val="19"/>
                <w:szCs w:val="19"/>
              </w:rPr>
              <w:t xml:space="preserve">GET</w:t>
            </w:r>
          </w:p>
        </w:tc>
        <w:tc>
          <w:tcPr>
            <w:tcW w:type="dxa" w:w="3800"/>
            <w:tcMar>
              <w:top w:type="dxa" w:w="80"/>
              <w:left w:type="dxa" w:w="100"/>
              <w:bottom w:type="dxa" w:w="80"/>
              <w:right w:type="dxa" w:w="100"/>
            </w:tcMar>
            <w:vAlign w:val="center"/>
          </w:tcPr>
          <w:p>
            <w:pPr>
              <w:spacing w:after="40"/>
            </w:pPr>
            <w:r>
              <w:rPr>
                <w:sz w:val="19"/>
                <w:szCs w:val="19"/>
              </w:rPr>
              <w:t xml:space="preserve">/api/v1/prices/compare</w:t>
            </w:r>
          </w:p>
        </w:tc>
        <w:tc>
          <w:tcPr>
            <w:tcW w:type="dxa" w:w="3500"/>
            <w:tcMar>
              <w:top w:type="dxa" w:w="80"/>
              <w:left w:type="dxa" w:w="100"/>
              <w:bottom w:type="dxa" w:w="80"/>
              <w:right w:type="dxa" w:w="100"/>
            </w:tcMar>
            <w:vAlign w:val="center"/>
          </w:tcPr>
          <w:p>
            <w:pPr>
              <w:spacing w:after="40"/>
            </w:pPr>
            <w:r>
              <w:rPr>
                <w:sz w:val="19"/>
                <w:szCs w:val="19"/>
              </w:rPr>
              <w:t xml:space="preserve">Compare prices across markets</w:t>
            </w:r>
          </w:p>
        </w:tc>
      </w:tr>
      <w:tr>
        <w:tc>
          <w:tcPr>
            <w:tcW w:type="dxa" w:w="1200"/>
            <w:shd w:fill="F5F8F6" w:val="clear"/>
            <w:tcMar>
              <w:top w:type="dxa" w:w="80"/>
              <w:left w:type="dxa" w:w="100"/>
              <w:bottom w:type="dxa" w:w="80"/>
              <w:right w:type="dxa" w:w="100"/>
            </w:tcMar>
            <w:vAlign w:val="center"/>
          </w:tcPr>
          <w:p>
            <w:pPr>
              <w:spacing w:after="40"/>
            </w:pPr>
            <w:r>
              <w:rPr>
                <w:sz w:val="19"/>
                <w:szCs w:val="19"/>
              </w:rPr>
              <w:t xml:space="preserve">POST</w:t>
            </w:r>
          </w:p>
        </w:tc>
        <w:tc>
          <w:tcPr>
            <w:tcW w:type="dxa" w:w="3800"/>
            <w:shd w:fill="F5F8F6" w:val="clear"/>
            <w:tcMar>
              <w:top w:type="dxa" w:w="80"/>
              <w:left w:type="dxa" w:w="100"/>
              <w:bottom w:type="dxa" w:w="80"/>
              <w:right w:type="dxa" w:w="100"/>
            </w:tcMar>
            <w:vAlign w:val="center"/>
          </w:tcPr>
          <w:p>
            <w:pPr>
              <w:spacing w:after="40"/>
            </w:pPr>
            <w:r>
              <w:rPr>
                <w:sz w:val="19"/>
                <w:szCs w:val="19"/>
              </w:rPr>
              <w:t xml:space="preserve">/api/v1/prices/alerts</w:t>
            </w:r>
          </w:p>
        </w:tc>
        <w:tc>
          <w:tcPr>
            <w:tcW w:type="dxa" w:w="3500"/>
            <w:shd w:fill="F5F8F6" w:val="clear"/>
            <w:tcMar>
              <w:top w:type="dxa" w:w="80"/>
              <w:left w:type="dxa" w:w="100"/>
              <w:bottom w:type="dxa" w:w="80"/>
              <w:right w:type="dxa" w:w="100"/>
            </w:tcMar>
            <w:vAlign w:val="center"/>
          </w:tcPr>
          <w:p>
            <w:pPr>
              <w:spacing w:after="40"/>
            </w:pPr>
            <w:r>
              <w:rPr>
                <w:sz w:val="19"/>
                <w:szCs w:val="19"/>
              </w:rPr>
              <w:t xml:space="preserve">Create a price threshold alert</w:t>
            </w:r>
          </w:p>
        </w:tc>
      </w:tr>
    </w:tbl>
    <w:p>
      <w:pPr>
        <w:spacing w:after="160" w:line="300"/>
      </w:pPr>
      <w:r>
        <w:rPr>
          <w:b/>
          <w:bCs/>
        </w:rPr>
        <w:t xml:space="preserve">Data Owned: </w:t>
      </w:r>
      <w:r>
        <w:t xml:space="preserve">PriceRecord, PriceAlertSubscription (cache-first, backed by a periodic sync job).</w:t>
      </w:r>
    </w:p>
    <w:p>
      <w:pPr>
        <w:pStyle w:val="Heading3"/>
        <w:spacing w:after="100" w:before="200"/>
      </w:pPr>
      <w:r>
        <w:t xml:space="preserve">5.4 Order &amp; Logistics Service</w:t>
      </w:r>
    </w:p>
    <w:p>
      <w:pPr>
        <w:spacing w:after="160" w:line="300"/>
      </w:pPr>
      <w:r>
        <w:rPr>
          <w:b/>
          <w:bCs/>
        </w:rPr>
        <w:t xml:space="preserve">Responsibilities:</w:t>
      </w:r>
    </w:p>
    <w:p>
      <w:pPr>
        <w:pStyle w:val="ListParagraph"/>
        <w:numPr>
          <w:ilvl w:val="1"/>
          <w:numId w:val="2"/>
        </w:numPr>
        <w:spacing w:after="90" w:line="280"/>
      </w:pPr>
      <w:r>
        <w:t xml:space="preserve">Create and confirm orders against a listing.</w:t>
      </w:r>
    </w:p>
    <w:p>
      <w:pPr>
        <w:pStyle w:val="ListParagraph"/>
        <w:numPr>
          <w:ilvl w:val="1"/>
          <w:numId w:val="2"/>
        </w:numPr>
        <w:spacing w:after="90" w:line="280"/>
      </w:pPr>
      <w:r>
        <w:t xml:space="preserve">Orchestrate payment via the payment gateway adapter.</w:t>
      </w:r>
    </w:p>
    <w:p>
      <w:pPr>
        <w:pStyle w:val="ListParagraph"/>
        <w:numPr>
          <w:ilvl w:val="1"/>
          <w:numId w:val="2"/>
        </w:numPr>
        <w:spacing w:after="90" w:line="280"/>
      </w:pPr>
      <w:r>
        <w:t xml:space="preserve">Assign a logistics partner and track shipment status.</w:t>
      </w:r>
    </w:p>
    <w:p>
      <w:pPr>
        <w:pStyle w:val="ListParagraph"/>
        <w:numPr>
          <w:ilvl w:val="1"/>
          <w:numId w:val="2"/>
        </w:numPr>
        <w:spacing w:after="90" w:line="280"/>
      </w:pPr>
      <w:r>
        <w:t xml:space="preserve">Handle cancellations within a defined window, capturing a reason.</w:t>
      </w:r>
    </w:p>
    <w:p>
      <w:pPr>
        <w:spacing w:after="160" w:line="300"/>
      </w:pPr>
      <w:r>
        <w:rPr>
          <w:b/>
          <w:bCs/>
        </w:rPr>
        <w:t xml:space="preserve">Sample REST Endpoints: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3500"/>
      </w:tblGrid>
      <w:tr>
        <w:trPr>
          <w:tblHeader/>
        </w:trPr>
        <w:tc>
          <w:tcPr>
            <w:tcW w:type="dxa" w:w="1200"/>
            <w:shd w:fill="1F3A2D" w:val="clear"/>
            <w:tcMar>
              <w:top w:type="dxa" w:w="80"/>
              <w:left w:type="dxa" w:w="100"/>
              <w:bottom w:type="dxa" w:w="80"/>
              <w:right w:type="dxa" w:w="100"/>
            </w:tcMar>
            <w:vAlign w:val="center"/>
          </w:tcPr>
          <w:p>
            <w:pPr>
              <w:spacing w:after="40"/>
            </w:pPr>
            <w:r>
              <w:rPr>
                <w:b/>
                <w:bCs/>
                <w:color w:val="FFFFFF"/>
                <w:sz w:val="19"/>
                <w:szCs w:val="19"/>
              </w:rPr>
              <w:t xml:space="preserve">Method</w:t>
            </w:r>
          </w:p>
        </w:tc>
        <w:tc>
          <w:tcPr>
            <w:tcW w:type="dxa" w:w="3800"/>
            <w:shd w:fill="1F3A2D" w:val="clear"/>
            <w:tcMar>
              <w:top w:type="dxa" w:w="80"/>
              <w:left w:type="dxa" w:w="100"/>
              <w:bottom w:type="dxa" w:w="80"/>
              <w:right w:type="dxa" w:w="100"/>
            </w:tcMar>
            <w:vAlign w:val="center"/>
          </w:tcPr>
          <w:p>
            <w:pPr>
              <w:spacing w:after="40"/>
            </w:pPr>
            <w:r>
              <w:rPr>
                <w:b/>
                <w:bCs/>
                <w:color w:val="FFFFFF"/>
                <w:sz w:val="19"/>
                <w:szCs w:val="19"/>
              </w:rPr>
              <w:t xml:space="preserve">Endpoint</w:t>
            </w:r>
          </w:p>
        </w:tc>
        <w:tc>
          <w:tcPr>
            <w:tcW w:type="dxa" w:w="3500"/>
            <w:shd w:fill="1F3A2D" w:val="clear"/>
            <w:tcMar>
              <w:top w:type="dxa" w:w="80"/>
              <w:left w:type="dxa" w:w="100"/>
              <w:bottom w:type="dxa" w:w="80"/>
              <w:right w:type="dxa" w:w="100"/>
            </w:tcMar>
            <w:vAlign w:val="center"/>
          </w:tcPr>
          <w:p>
            <w:pPr>
              <w:spacing w:after="40"/>
            </w:pPr>
            <w:r>
              <w:rPr>
                <w:b/>
                <w:bCs/>
                <w:color w:val="FFFFFF"/>
                <w:sz w:val="19"/>
                <w:szCs w:val="19"/>
              </w:rPr>
              <w:t xml:space="preserve">Description</w:t>
            </w:r>
          </w:p>
        </w:tc>
      </w:tr>
      <w:tr>
        <w:tc>
          <w:tcPr>
            <w:tcW w:type="dxa" w:w="1200"/>
            <w:tcMar>
              <w:top w:type="dxa" w:w="80"/>
              <w:left w:type="dxa" w:w="100"/>
              <w:bottom w:type="dxa" w:w="80"/>
              <w:right w:type="dxa" w:w="100"/>
            </w:tcMar>
            <w:vAlign w:val="center"/>
          </w:tcPr>
          <w:p>
            <w:pPr>
              <w:spacing w:after="40"/>
            </w:pPr>
            <w:r>
              <w:rPr>
                <w:sz w:val="19"/>
                <w:szCs w:val="19"/>
              </w:rPr>
              <w:t xml:space="preserve">POST</w:t>
            </w:r>
          </w:p>
        </w:tc>
        <w:tc>
          <w:tcPr>
            <w:tcW w:type="dxa" w:w="3800"/>
            <w:tcMar>
              <w:top w:type="dxa" w:w="80"/>
              <w:left w:type="dxa" w:w="100"/>
              <w:bottom w:type="dxa" w:w="80"/>
              <w:right w:type="dxa" w:w="100"/>
            </w:tcMar>
            <w:vAlign w:val="center"/>
          </w:tcPr>
          <w:p>
            <w:pPr>
              <w:spacing w:after="40"/>
            </w:pPr>
            <w:r>
              <w:rPr>
                <w:sz w:val="19"/>
                <w:szCs w:val="19"/>
              </w:rPr>
              <w:t xml:space="preserve">/api/v1/orders</w:t>
            </w:r>
          </w:p>
        </w:tc>
        <w:tc>
          <w:tcPr>
            <w:tcW w:type="dxa" w:w="3500"/>
            <w:tcMar>
              <w:top w:type="dxa" w:w="80"/>
              <w:left w:type="dxa" w:w="100"/>
              <w:bottom w:type="dxa" w:w="80"/>
              <w:right w:type="dxa" w:w="100"/>
            </w:tcMar>
            <w:vAlign w:val="center"/>
          </w:tcPr>
          <w:p>
            <w:pPr>
              <w:spacing w:after="40"/>
            </w:pPr>
            <w:r>
              <w:rPr>
                <w:sz w:val="19"/>
                <w:szCs w:val="19"/>
              </w:rPr>
              <w:t xml:space="preserve">Place a new order</w:t>
            </w:r>
          </w:p>
        </w:tc>
      </w:tr>
      <w:tr>
        <w:tc>
          <w:tcPr>
            <w:tcW w:type="dxa" w:w="1200"/>
            <w:shd w:fill="F5F8F6" w:val="clear"/>
            <w:tcMar>
              <w:top w:type="dxa" w:w="80"/>
              <w:left w:type="dxa" w:w="100"/>
              <w:bottom w:type="dxa" w:w="80"/>
              <w:right w:type="dxa" w:w="100"/>
            </w:tcMar>
            <w:vAlign w:val="center"/>
          </w:tcPr>
          <w:p>
            <w:pPr>
              <w:spacing w:after="40"/>
            </w:pPr>
            <w:r>
              <w:rPr>
                <w:sz w:val="19"/>
                <w:szCs w:val="19"/>
              </w:rPr>
              <w:t xml:space="preserve">GET</w:t>
            </w:r>
          </w:p>
        </w:tc>
        <w:tc>
          <w:tcPr>
            <w:tcW w:type="dxa" w:w="3800"/>
            <w:shd w:fill="F5F8F6" w:val="clear"/>
            <w:tcMar>
              <w:top w:type="dxa" w:w="80"/>
              <w:left w:type="dxa" w:w="100"/>
              <w:bottom w:type="dxa" w:w="80"/>
              <w:right w:type="dxa" w:w="100"/>
            </w:tcMar>
            <w:vAlign w:val="center"/>
          </w:tcPr>
          <w:p>
            <w:pPr>
              <w:spacing w:after="40"/>
            </w:pPr>
            <w:r>
              <w:rPr>
                <w:sz w:val="19"/>
                <w:szCs w:val="19"/>
              </w:rPr>
              <w:t xml:space="preserve">/api/v1/orders/{id}</w:t>
            </w:r>
          </w:p>
        </w:tc>
        <w:tc>
          <w:tcPr>
            <w:tcW w:type="dxa" w:w="3500"/>
            <w:shd w:fill="F5F8F6" w:val="clear"/>
            <w:tcMar>
              <w:top w:type="dxa" w:w="80"/>
              <w:left w:type="dxa" w:w="100"/>
              <w:bottom w:type="dxa" w:w="80"/>
              <w:right w:type="dxa" w:w="100"/>
            </w:tcMar>
            <w:vAlign w:val="center"/>
          </w:tcPr>
          <w:p>
            <w:pPr>
              <w:spacing w:after="40"/>
            </w:pPr>
            <w:r>
              <w:rPr>
                <w:sz w:val="19"/>
                <w:szCs w:val="19"/>
              </w:rPr>
              <w:t xml:space="preserve">Retrieve order details and status</w:t>
            </w:r>
          </w:p>
        </w:tc>
      </w:tr>
      <w:tr>
        <w:tc>
          <w:tcPr>
            <w:tcW w:type="dxa" w:w="1200"/>
            <w:tcMar>
              <w:top w:type="dxa" w:w="80"/>
              <w:left w:type="dxa" w:w="100"/>
              <w:bottom w:type="dxa" w:w="80"/>
              <w:right w:type="dxa" w:w="100"/>
            </w:tcMar>
            <w:vAlign w:val="center"/>
          </w:tcPr>
          <w:p>
            <w:pPr>
              <w:spacing w:after="40"/>
            </w:pPr>
            <w:r>
              <w:rPr>
                <w:sz w:val="19"/>
                <w:szCs w:val="19"/>
              </w:rPr>
              <w:t xml:space="preserve">PATCH</w:t>
            </w:r>
          </w:p>
        </w:tc>
        <w:tc>
          <w:tcPr>
            <w:tcW w:type="dxa" w:w="3800"/>
            <w:tcMar>
              <w:top w:type="dxa" w:w="80"/>
              <w:left w:type="dxa" w:w="100"/>
              <w:bottom w:type="dxa" w:w="80"/>
              <w:right w:type="dxa" w:w="100"/>
            </w:tcMar>
            <w:vAlign w:val="center"/>
          </w:tcPr>
          <w:p>
            <w:pPr>
              <w:spacing w:after="40"/>
            </w:pPr>
            <w:r>
              <w:rPr>
                <w:sz w:val="19"/>
                <w:szCs w:val="19"/>
              </w:rPr>
              <w:t xml:space="preserve">/api/v1/orders/{id}/status</w:t>
            </w:r>
          </w:p>
        </w:tc>
        <w:tc>
          <w:tcPr>
            <w:tcW w:type="dxa" w:w="3500"/>
            <w:tcMar>
              <w:top w:type="dxa" w:w="80"/>
              <w:left w:type="dxa" w:w="100"/>
              <w:bottom w:type="dxa" w:w="80"/>
              <w:right w:type="dxa" w:w="100"/>
            </w:tcMar>
            <w:vAlign w:val="center"/>
          </w:tcPr>
          <w:p>
            <w:pPr>
              <w:spacing w:after="40"/>
            </w:pPr>
            <w:r>
              <w:rPr>
                <w:sz w:val="19"/>
                <w:szCs w:val="19"/>
              </w:rPr>
              <w:t xml:space="preserve">Update shipment status</w:t>
            </w:r>
          </w:p>
        </w:tc>
      </w:tr>
      <w:tr>
        <w:tc>
          <w:tcPr>
            <w:tcW w:type="dxa" w:w="1200"/>
            <w:shd w:fill="F5F8F6" w:val="clear"/>
            <w:tcMar>
              <w:top w:type="dxa" w:w="80"/>
              <w:left w:type="dxa" w:w="100"/>
              <w:bottom w:type="dxa" w:w="80"/>
              <w:right w:type="dxa" w:w="100"/>
            </w:tcMar>
            <w:vAlign w:val="center"/>
          </w:tcPr>
          <w:p>
            <w:pPr>
              <w:spacing w:after="40"/>
            </w:pPr>
            <w:r>
              <w:rPr>
                <w:sz w:val="19"/>
                <w:szCs w:val="19"/>
              </w:rPr>
              <w:t xml:space="preserve">POST</w:t>
            </w:r>
          </w:p>
        </w:tc>
        <w:tc>
          <w:tcPr>
            <w:tcW w:type="dxa" w:w="3800"/>
            <w:shd w:fill="F5F8F6" w:val="clear"/>
            <w:tcMar>
              <w:top w:type="dxa" w:w="80"/>
              <w:left w:type="dxa" w:w="100"/>
              <w:bottom w:type="dxa" w:w="80"/>
              <w:right w:type="dxa" w:w="100"/>
            </w:tcMar>
            <w:vAlign w:val="center"/>
          </w:tcPr>
          <w:p>
            <w:pPr>
              <w:spacing w:after="40"/>
            </w:pPr>
            <w:r>
              <w:rPr>
                <w:sz w:val="19"/>
                <w:szCs w:val="19"/>
              </w:rPr>
              <w:t xml:space="preserve">/api/v1/orders/{id}/cancel</w:t>
            </w:r>
          </w:p>
        </w:tc>
        <w:tc>
          <w:tcPr>
            <w:tcW w:type="dxa" w:w="3500"/>
            <w:shd w:fill="F5F8F6" w:val="clear"/>
            <w:tcMar>
              <w:top w:type="dxa" w:w="80"/>
              <w:left w:type="dxa" w:w="100"/>
              <w:bottom w:type="dxa" w:w="80"/>
              <w:right w:type="dxa" w:w="100"/>
            </w:tcMar>
            <w:vAlign w:val="center"/>
          </w:tcPr>
          <w:p>
            <w:pPr>
              <w:spacing w:after="40"/>
            </w:pPr>
            <w:r>
              <w:rPr>
                <w:sz w:val="19"/>
                <w:szCs w:val="19"/>
              </w:rPr>
              <w:t xml:space="preserve">Cancel an order with a reason</w:t>
            </w:r>
          </w:p>
        </w:tc>
      </w:tr>
    </w:tbl>
    <w:p>
      <w:pPr>
        <w:spacing w:after="160" w:line="300"/>
      </w:pPr>
      <w:r>
        <w:rPr>
          <w:b/>
          <w:bCs/>
        </w:rPr>
        <w:t xml:space="preserve">Data Owned: </w:t>
      </w:r>
      <w:r>
        <w:t xml:space="preserve">Order, OrderItem, Shipment, Payment (status/reference only – card data is never stored).</w:t>
      </w:r>
    </w:p>
    <w:p>
      <w:pPr>
        <w:pStyle w:val="Heading3"/>
        <w:spacing w:after="100" w:before="200"/>
      </w:pPr>
      <w:r>
        <w:t xml:space="preserve">5.5 Notification Service</w:t>
      </w:r>
    </w:p>
    <w:p>
      <w:pPr>
        <w:spacing w:after="160" w:line="300"/>
      </w:pPr>
      <w:r>
        <w:rPr>
          <w:b/>
          <w:bCs/>
        </w:rPr>
        <w:t xml:space="preserve">Responsibilities:</w:t>
      </w:r>
    </w:p>
    <w:p>
      <w:pPr>
        <w:pStyle w:val="ListParagraph"/>
        <w:numPr>
          <w:ilvl w:val="1"/>
          <w:numId w:val="2"/>
        </w:numPr>
        <w:spacing w:after="90" w:line="280"/>
      </w:pPr>
      <w:r>
        <w:t xml:space="preserve">Consume order, price-alert, and weather-advisory events from the message queue.</w:t>
      </w:r>
    </w:p>
    <w:p>
      <w:pPr>
        <w:pStyle w:val="ListParagraph"/>
        <w:numPr>
          <w:ilvl w:val="1"/>
          <w:numId w:val="2"/>
        </w:numPr>
        <w:spacing w:after="90" w:line="280"/>
      </w:pPr>
      <w:r>
        <w:t xml:space="preserve">Render message templates per event type and user language preference.</w:t>
      </w:r>
    </w:p>
    <w:p>
      <w:pPr>
        <w:pStyle w:val="ListParagraph"/>
        <w:numPr>
          <w:ilvl w:val="1"/>
          <w:numId w:val="2"/>
        </w:numPr>
        <w:spacing w:after="90" w:line="280"/>
      </w:pPr>
      <w:r>
        <w:t xml:space="preserve">Dispatch messages via the SMS/push gateway and record delivery status.</w:t>
      </w:r>
    </w:p>
    <w:p>
      <w:pPr>
        <w:spacing w:after="160" w:line="300"/>
      </w:pPr>
      <w:r>
        <w:rPr>
          <w:b/>
          <w:bCs/>
        </w:rPr>
        <w:t xml:space="preserve">Sample REST Endpoints: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3500"/>
      </w:tblGrid>
      <w:tr>
        <w:trPr>
          <w:tblHeader/>
        </w:trPr>
        <w:tc>
          <w:tcPr>
            <w:tcW w:type="dxa" w:w="1200"/>
            <w:shd w:fill="1F3A2D" w:val="clear"/>
            <w:tcMar>
              <w:top w:type="dxa" w:w="80"/>
              <w:left w:type="dxa" w:w="100"/>
              <w:bottom w:type="dxa" w:w="80"/>
              <w:right w:type="dxa" w:w="100"/>
            </w:tcMar>
            <w:vAlign w:val="center"/>
          </w:tcPr>
          <w:p>
            <w:pPr>
              <w:spacing w:after="40"/>
            </w:pPr>
            <w:r>
              <w:rPr>
                <w:b/>
                <w:bCs/>
                <w:color w:val="FFFFFF"/>
                <w:sz w:val="19"/>
                <w:szCs w:val="19"/>
              </w:rPr>
              <w:t xml:space="preserve">Method</w:t>
            </w:r>
          </w:p>
        </w:tc>
        <w:tc>
          <w:tcPr>
            <w:tcW w:type="dxa" w:w="3800"/>
            <w:shd w:fill="1F3A2D" w:val="clear"/>
            <w:tcMar>
              <w:top w:type="dxa" w:w="80"/>
              <w:left w:type="dxa" w:w="100"/>
              <w:bottom w:type="dxa" w:w="80"/>
              <w:right w:type="dxa" w:w="100"/>
            </w:tcMar>
            <w:vAlign w:val="center"/>
          </w:tcPr>
          <w:p>
            <w:pPr>
              <w:spacing w:after="40"/>
            </w:pPr>
            <w:r>
              <w:rPr>
                <w:b/>
                <w:bCs/>
                <w:color w:val="FFFFFF"/>
                <w:sz w:val="19"/>
                <w:szCs w:val="19"/>
              </w:rPr>
              <w:t xml:space="preserve">Endpoint</w:t>
            </w:r>
          </w:p>
        </w:tc>
        <w:tc>
          <w:tcPr>
            <w:tcW w:type="dxa" w:w="3500"/>
            <w:shd w:fill="1F3A2D" w:val="clear"/>
            <w:tcMar>
              <w:top w:type="dxa" w:w="80"/>
              <w:left w:type="dxa" w:w="100"/>
              <w:bottom w:type="dxa" w:w="80"/>
              <w:right w:type="dxa" w:w="100"/>
            </w:tcMar>
            <w:vAlign w:val="center"/>
          </w:tcPr>
          <w:p>
            <w:pPr>
              <w:spacing w:after="40"/>
            </w:pPr>
            <w:r>
              <w:rPr>
                <w:b/>
                <w:bCs/>
                <w:color w:val="FFFFFF"/>
                <w:sz w:val="19"/>
                <w:szCs w:val="19"/>
              </w:rPr>
              <w:t xml:space="preserve">Description</w:t>
            </w:r>
          </w:p>
        </w:tc>
      </w:tr>
      <w:tr>
        <w:tc>
          <w:tcPr>
            <w:tcW w:type="dxa" w:w="1200"/>
            <w:tcMar>
              <w:top w:type="dxa" w:w="80"/>
              <w:left w:type="dxa" w:w="100"/>
              <w:bottom w:type="dxa" w:w="80"/>
              <w:right w:type="dxa" w:w="100"/>
            </w:tcMar>
            <w:vAlign w:val="center"/>
          </w:tcPr>
          <w:p>
            <w:pPr>
              <w:spacing w:after="40"/>
            </w:pPr>
            <w:r>
              <w:rPr>
                <w:sz w:val="19"/>
                <w:szCs w:val="19"/>
              </w:rPr>
              <w:t xml:space="preserve">GET</w:t>
            </w:r>
          </w:p>
        </w:tc>
        <w:tc>
          <w:tcPr>
            <w:tcW w:type="dxa" w:w="3800"/>
            <w:tcMar>
              <w:top w:type="dxa" w:w="80"/>
              <w:left w:type="dxa" w:w="100"/>
              <w:bottom w:type="dxa" w:w="80"/>
              <w:right w:type="dxa" w:w="100"/>
            </w:tcMar>
            <w:vAlign w:val="center"/>
          </w:tcPr>
          <w:p>
            <w:pPr>
              <w:spacing w:after="40"/>
            </w:pPr>
            <w:r>
              <w:rPr>
                <w:sz w:val="19"/>
                <w:szCs w:val="19"/>
              </w:rPr>
              <w:t xml:space="preserve">/api/v1/notifications/{userId}</w:t>
            </w:r>
          </w:p>
        </w:tc>
        <w:tc>
          <w:tcPr>
            <w:tcW w:type="dxa" w:w="3500"/>
            <w:tcMar>
              <w:top w:type="dxa" w:w="80"/>
              <w:left w:type="dxa" w:w="100"/>
              <w:bottom w:type="dxa" w:w="80"/>
              <w:right w:type="dxa" w:w="100"/>
            </w:tcMar>
            <w:vAlign w:val="center"/>
          </w:tcPr>
          <w:p>
            <w:pPr>
              <w:spacing w:after="40"/>
            </w:pPr>
            <w:r>
              <w:rPr>
                <w:sz w:val="19"/>
                <w:szCs w:val="19"/>
              </w:rPr>
              <w:t xml:space="preserve">Retrieve a user's notification history</w:t>
            </w:r>
          </w:p>
        </w:tc>
      </w:tr>
      <w:tr>
        <w:tc>
          <w:tcPr>
            <w:tcW w:type="dxa" w:w="1200"/>
            <w:shd w:fill="F5F8F6" w:val="clear"/>
            <w:tcMar>
              <w:top w:type="dxa" w:w="80"/>
              <w:left w:type="dxa" w:w="100"/>
              <w:bottom w:type="dxa" w:w="80"/>
              <w:right w:type="dxa" w:w="100"/>
            </w:tcMar>
            <w:vAlign w:val="center"/>
          </w:tcPr>
          <w:p>
            <w:pPr>
              <w:spacing w:after="40"/>
            </w:pPr>
            <w:r>
              <w:rPr>
                <w:sz w:val="19"/>
                <w:szCs w:val="19"/>
              </w:rPr>
              <w:t xml:space="preserve">PATCH</w:t>
            </w:r>
          </w:p>
        </w:tc>
        <w:tc>
          <w:tcPr>
            <w:tcW w:type="dxa" w:w="3800"/>
            <w:shd w:fill="F5F8F6" w:val="clear"/>
            <w:tcMar>
              <w:top w:type="dxa" w:w="80"/>
              <w:left w:type="dxa" w:w="100"/>
              <w:bottom w:type="dxa" w:w="80"/>
              <w:right w:type="dxa" w:w="100"/>
            </w:tcMar>
            <w:vAlign w:val="center"/>
          </w:tcPr>
          <w:p>
            <w:pPr>
              <w:spacing w:after="40"/>
            </w:pPr>
            <w:r>
              <w:rPr>
                <w:sz w:val="19"/>
                <w:szCs w:val="19"/>
              </w:rPr>
              <w:t xml:space="preserve">/api/v1/notifications/preferences</w:t>
            </w:r>
          </w:p>
        </w:tc>
        <w:tc>
          <w:tcPr>
            <w:tcW w:type="dxa" w:w="3500"/>
            <w:shd w:fill="F5F8F6" w:val="clear"/>
            <w:tcMar>
              <w:top w:type="dxa" w:w="80"/>
              <w:left w:type="dxa" w:w="100"/>
              <w:bottom w:type="dxa" w:w="80"/>
              <w:right w:type="dxa" w:w="100"/>
            </w:tcMar>
            <w:vAlign w:val="center"/>
          </w:tcPr>
          <w:p>
            <w:pPr>
              <w:spacing w:after="40"/>
            </w:pPr>
            <w:r>
              <w:rPr>
                <w:sz w:val="19"/>
                <w:szCs w:val="19"/>
              </w:rPr>
              <w:t xml:space="preserve">Update notification preferences</w:t>
            </w:r>
          </w:p>
        </w:tc>
      </w:tr>
    </w:tbl>
    <w:p>
      <w:pPr>
        <w:spacing w:after="160" w:line="300"/>
      </w:pPr>
      <w:r>
        <w:rPr>
          <w:b/>
          <w:bCs/>
        </w:rPr>
        <w:t xml:space="preserve">Data Owned: </w:t>
      </w:r>
      <w:r>
        <w:t xml:space="preserve">NotificationLog, UserPreference.</w:t>
      </w:r>
    </w:p>
    <w:p>
      <w:pPr>
        <w:pStyle w:val="Heading3"/>
        <w:spacing w:after="100" w:before="200"/>
      </w:pPr>
      <w:r>
        <w:t xml:space="preserve">5.6 Analytics &amp; Reporting Service</w:t>
      </w:r>
    </w:p>
    <w:p>
      <w:pPr>
        <w:spacing w:after="160" w:line="300"/>
      </w:pPr>
      <w:r>
        <w:rPr>
          <w:b/>
          <w:bCs/>
        </w:rPr>
        <w:t xml:space="preserve">Responsibilities:</w:t>
      </w:r>
    </w:p>
    <w:p>
      <w:pPr>
        <w:pStyle w:val="ListParagraph"/>
        <w:numPr>
          <w:ilvl w:val="1"/>
          <w:numId w:val="2"/>
        </w:numPr>
        <w:spacing w:after="90" w:line="280"/>
      </w:pPr>
      <w:r>
        <w:t xml:space="preserve">Aggregate listing, order, and user activity metrics for the admin dashboard.</w:t>
      </w:r>
    </w:p>
    <w:p>
      <w:pPr>
        <w:pStyle w:val="ListParagraph"/>
        <w:numPr>
          <w:ilvl w:val="1"/>
          <w:numId w:val="2"/>
        </w:numPr>
        <w:spacing w:after="90" w:line="280"/>
      </w:pPr>
      <w:r>
        <w:t xml:space="preserve">Generate downloadable CSV/PDF activity reports for a selected period.</w:t>
      </w:r>
    </w:p>
    <w:p>
      <w:pPr>
        <w:pStyle w:val="ListParagraph"/>
        <w:numPr>
          <w:ilvl w:val="1"/>
          <w:numId w:val="2"/>
        </w:numPr>
        <w:spacing w:after="90" w:line="280"/>
      </w:pPr>
      <w:r>
        <w:t xml:space="preserve">Read from a database read replica to avoid impacting transactional performance.</w:t>
      </w:r>
    </w:p>
    <w:p>
      <w:pPr>
        <w:spacing w:after="160" w:line="300"/>
      </w:pPr>
      <w:r>
        <w:rPr>
          <w:b/>
          <w:bCs/>
        </w:rPr>
        <w:t xml:space="preserve">Sample REST Endpoints: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3500"/>
      </w:tblGrid>
      <w:tr>
        <w:trPr>
          <w:tblHeader/>
        </w:trPr>
        <w:tc>
          <w:tcPr>
            <w:tcW w:type="dxa" w:w="1200"/>
            <w:shd w:fill="1F3A2D" w:val="clear"/>
            <w:tcMar>
              <w:top w:type="dxa" w:w="80"/>
              <w:left w:type="dxa" w:w="100"/>
              <w:bottom w:type="dxa" w:w="80"/>
              <w:right w:type="dxa" w:w="100"/>
            </w:tcMar>
            <w:vAlign w:val="center"/>
          </w:tcPr>
          <w:p>
            <w:pPr>
              <w:spacing w:after="40"/>
            </w:pPr>
            <w:r>
              <w:rPr>
                <w:b/>
                <w:bCs/>
                <w:color w:val="FFFFFF"/>
                <w:sz w:val="19"/>
                <w:szCs w:val="19"/>
              </w:rPr>
              <w:t xml:space="preserve">Method</w:t>
            </w:r>
          </w:p>
        </w:tc>
        <w:tc>
          <w:tcPr>
            <w:tcW w:type="dxa" w:w="3800"/>
            <w:shd w:fill="1F3A2D" w:val="clear"/>
            <w:tcMar>
              <w:top w:type="dxa" w:w="80"/>
              <w:left w:type="dxa" w:w="100"/>
              <w:bottom w:type="dxa" w:w="80"/>
              <w:right w:type="dxa" w:w="100"/>
            </w:tcMar>
            <w:vAlign w:val="center"/>
          </w:tcPr>
          <w:p>
            <w:pPr>
              <w:spacing w:after="40"/>
            </w:pPr>
            <w:r>
              <w:rPr>
                <w:b/>
                <w:bCs/>
                <w:color w:val="FFFFFF"/>
                <w:sz w:val="19"/>
                <w:szCs w:val="19"/>
              </w:rPr>
              <w:t xml:space="preserve">Endpoint</w:t>
            </w:r>
          </w:p>
        </w:tc>
        <w:tc>
          <w:tcPr>
            <w:tcW w:type="dxa" w:w="3500"/>
            <w:shd w:fill="1F3A2D" w:val="clear"/>
            <w:tcMar>
              <w:top w:type="dxa" w:w="80"/>
              <w:left w:type="dxa" w:w="100"/>
              <w:bottom w:type="dxa" w:w="80"/>
              <w:right w:type="dxa" w:w="100"/>
            </w:tcMar>
            <w:vAlign w:val="center"/>
          </w:tcPr>
          <w:p>
            <w:pPr>
              <w:spacing w:after="40"/>
            </w:pPr>
            <w:r>
              <w:rPr>
                <w:b/>
                <w:bCs/>
                <w:color w:val="FFFFFF"/>
                <w:sz w:val="19"/>
                <w:szCs w:val="19"/>
              </w:rPr>
              <w:t xml:space="preserve">Description</w:t>
            </w:r>
          </w:p>
        </w:tc>
      </w:tr>
      <w:tr>
        <w:tc>
          <w:tcPr>
            <w:tcW w:type="dxa" w:w="1200"/>
            <w:tcMar>
              <w:top w:type="dxa" w:w="80"/>
              <w:left w:type="dxa" w:w="100"/>
              <w:bottom w:type="dxa" w:w="80"/>
              <w:right w:type="dxa" w:w="100"/>
            </w:tcMar>
            <w:vAlign w:val="center"/>
          </w:tcPr>
          <w:p>
            <w:pPr>
              <w:spacing w:after="40"/>
            </w:pPr>
            <w:r>
              <w:rPr>
                <w:sz w:val="19"/>
                <w:szCs w:val="19"/>
              </w:rPr>
              <w:t xml:space="preserve">GET</w:t>
            </w:r>
          </w:p>
        </w:tc>
        <w:tc>
          <w:tcPr>
            <w:tcW w:type="dxa" w:w="3800"/>
            <w:tcMar>
              <w:top w:type="dxa" w:w="80"/>
              <w:left w:type="dxa" w:w="100"/>
              <w:bottom w:type="dxa" w:w="80"/>
              <w:right w:type="dxa" w:w="100"/>
            </w:tcMar>
            <w:vAlign w:val="center"/>
          </w:tcPr>
          <w:p>
            <w:pPr>
              <w:spacing w:after="40"/>
            </w:pPr>
            <w:r>
              <w:rPr>
                <w:sz w:val="19"/>
                <w:szCs w:val="19"/>
              </w:rPr>
              <w:t xml:space="preserve">/api/v1/analytics/summary</w:t>
            </w:r>
          </w:p>
        </w:tc>
        <w:tc>
          <w:tcPr>
            <w:tcW w:type="dxa" w:w="3500"/>
            <w:tcMar>
              <w:top w:type="dxa" w:w="80"/>
              <w:left w:type="dxa" w:w="100"/>
              <w:bottom w:type="dxa" w:w="80"/>
              <w:right w:type="dxa" w:w="100"/>
            </w:tcMar>
            <w:vAlign w:val="center"/>
          </w:tcPr>
          <w:p>
            <w:pPr>
              <w:spacing w:after="40"/>
            </w:pPr>
            <w:r>
              <w:rPr>
                <w:sz w:val="19"/>
                <w:szCs w:val="19"/>
              </w:rPr>
              <w:t xml:space="preserve">Platform-wide activity summary</w:t>
            </w:r>
          </w:p>
        </w:tc>
      </w:tr>
      <w:tr>
        <w:tc>
          <w:tcPr>
            <w:tcW w:type="dxa" w:w="1200"/>
            <w:shd w:fill="F5F8F6" w:val="clear"/>
            <w:tcMar>
              <w:top w:type="dxa" w:w="80"/>
              <w:left w:type="dxa" w:w="100"/>
              <w:bottom w:type="dxa" w:w="80"/>
              <w:right w:type="dxa" w:w="100"/>
            </w:tcMar>
            <w:vAlign w:val="center"/>
          </w:tcPr>
          <w:p>
            <w:pPr>
              <w:spacing w:after="40"/>
            </w:pPr>
            <w:r>
              <w:rPr>
                <w:sz w:val="19"/>
                <w:szCs w:val="19"/>
              </w:rPr>
              <w:t xml:space="preserve">GET</w:t>
            </w:r>
          </w:p>
        </w:tc>
        <w:tc>
          <w:tcPr>
            <w:tcW w:type="dxa" w:w="3800"/>
            <w:shd w:fill="F5F8F6" w:val="clear"/>
            <w:tcMar>
              <w:top w:type="dxa" w:w="80"/>
              <w:left w:type="dxa" w:w="100"/>
              <w:bottom w:type="dxa" w:w="80"/>
              <w:right w:type="dxa" w:w="100"/>
            </w:tcMar>
            <w:vAlign w:val="center"/>
          </w:tcPr>
          <w:p>
            <w:pPr>
              <w:spacing w:after="40"/>
            </w:pPr>
            <w:r>
              <w:rPr>
                <w:sz w:val="19"/>
                <w:szCs w:val="19"/>
              </w:rPr>
              <w:t xml:space="preserve">/api/v1/analytics/reports</w:t>
            </w:r>
          </w:p>
        </w:tc>
        <w:tc>
          <w:tcPr>
            <w:tcW w:type="dxa" w:w="3500"/>
            <w:shd w:fill="F5F8F6" w:val="clear"/>
            <w:tcMar>
              <w:top w:type="dxa" w:w="80"/>
              <w:left w:type="dxa" w:w="100"/>
              <w:bottom w:type="dxa" w:w="80"/>
              <w:right w:type="dxa" w:w="100"/>
            </w:tcMar>
            <w:vAlign w:val="center"/>
          </w:tcPr>
          <w:p>
            <w:pPr>
              <w:spacing w:after="40"/>
            </w:pPr>
            <w:r>
              <w:rPr>
                <w:sz w:val="19"/>
                <w:szCs w:val="19"/>
              </w:rPr>
              <w:t xml:space="preserve">Generate a report for a given period</w:t>
            </w:r>
          </w:p>
        </w:tc>
      </w:tr>
    </w:tbl>
    <w:p>
      <w:pPr>
        <w:spacing w:after="160" w:line="300"/>
      </w:pPr>
      <w:r>
        <w:rPr>
          <w:b/>
          <w:bCs/>
        </w:rPr>
        <w:t xml:space="preserve">Data Owned: </w:t>
      </w:r>
      <w:r>
        <w:t xml:space="preserve">Stateless aggregator; reads other services' data via the read replica, with its own ReportExportLog.</w:t>
      </w:r>
    </w:p>
    <w:p>
      <w:pPr>
        <w:pStyle w:val="Heading1"/>
        <w:spacing w:after="180" w:before="360"/>
      </w:pPr>
      <w:r>
        <w:t xml:space="preserve">6. Data Model Overview</w:t>
      </w:r>
    </w:p>
    <w:p>
      <w:pPr>
        <w:spacing w:after="160" w:line="300"/>
      </w:pPr>
      <w:r>
        <w:t xml:space="preserve">The table below summarises the core data entities that underpin the services described in Section 5, along with their key fields and relationships. A full entity-relationship diagram and schema definition will be produced during Week 3 implementation; this overview is sufficient to validate that the service boundaries in Section 4 have a coherent, non-overlapping data ownership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3100"/>
      </w:tblGrid>
      <w:tr>
        <w:trPr>
          <w:tblHeader/>
        </w:trPr>
        <w:tc>
          <w:tcPr>
            <w:tcW w:type="dxa" w:w="1600"/>
            <w:shd w:fill="1F3A2D" w:val="clear"/>
            <w:tcMar>
              <w:top w:type="dxa" w:w="80"/>
              <w:left w:type="dxa" w:w="100"/>
              <w:bottom w:type="dxa" w:w="80"/>
              <w:right w:type="dxa" w:w="100"/>
            </w:tcMar>
            <w:vAlign w:val="center"/>
          </w:tcPr>
          <w:p>
            <w:pPr>
              <w:spacing w:after="40"/>
            </w:pPr>
            <w:r>
              <w:rPr>
                <w:b/>
                <w:bCs/>
                <w:color w:val="FFFFFF"/>
                <w:sz w:val="19"/>
                <w:szCs w:val="19"/>
              </w:rPr>
              <w:t xml:space="preserve">Entity</w:t>
            </w:r>
          </w:p>
        </w:tc>
        <w:tc>
          <w:tcPr>
            <w:tcW w:type="dxa" w:w="4300"/>
            <w:shd w:fill="1F3A2D" w:val="clear"/>
            <w:tcMar>
              <w:top w:type="dxa" w:w="80"/>
              <w:left w:type="dxa" w:w="100"/>
              <w:bottom w:type="dxa" w:w="80"/>
              <w:right w:type="dxa" w:w="100"/>
            </w:tcMar>
            <w:vAlign w:val="center"/>
          </w:tcPr>
          <w:p>
            <w:pPr>
              <w:spacing w:after="40"/>
            </w:pPr>
            <w:r>
              <w:rPr>
                <w:b/>
                <w:bCs/>
                <w:color w:val="FFFFFF"/>
                <w:sz w:val="19"/>
                <w:szCs w:val="19"/>
              </w:rPr>
              <w:t xml:space="preserve">Key Fields</w:t>
            </w:r>
          </w:p>
        </w:tc>
        <w:tc>
          <w:tcPr>
            <w:tcW w:type="dxa" w:w="3100"/>
            <w:shd w:fill="1F3A2D" w:val="clear"/>
            <w:tcMar>
              <w:top w:type="dxa" w:w="80"/>
              <w:left w:type="dxa" w:w="100"/>
              <w:bottom w:type="dxa" w:w="80"/>
              <w:right w:type="dxa" w:w="100"/>
            </w:tcMar>
            <w:vAlign w:val="center"/>
          </w:tcPr>
          <w:p>
            <w:pPr>
              <w:spacing w:after="40"/>
            </w:pPr>
            <w:r>
              <w:rPr>
                <w:b/>
                <w:bCs/>
                <w:color w:val="FFFFFF"/>
                <w:sz w:val="19"/>
                <w:szCs w:val="19"/>
              </w:rPr>
              <w:t xml:space="preserve">Related To</w:t>
            </w:r>
          </w:p>
        </w:tc>
      </w:tr>
      <w:tr>
        <w:tc>
          <w:tcPr>
            <w:tcW w:type="dxa" w:w="1600"/>
            <w:tcMar>
              <w:top w:type="dxa" w:w="80"/>
              <w:left w:type="dxa" w:w="100"/>
              <w:bottom w:type="dxa" w:w="80"/>
              <w:right w:type="dxa" w:w="100"/>
            </w:tcMar>
            <w:vAlign w:val="center"/>
          </w:tcPr>
          <w:p>
            <w:pPr>
              <w:spacing w:after="40"/>
            </w:pPr>
            <w:r>
              <w:rPr>
                <w:sz w:val="19"/>
                <w:szCs w:val="19"/>
              </w:rPr>
              <w:t xml:space="preserve">User</w:t>
            </w:r>
          </w:p>
        </w:tc>
        <w:tc>
          <w:tcPr>
            <w:tcW w:type="dxa" w:w="4300"/>
            <w:tcMar>
              <w:top w:type="dxa" w:w="80"/>
              <w:left w:type="dxa" w:w="100"/>
              <w:bottom w:type="dxa" w:w="80"/>
              <w:right w:type="dxa" w:w="100"/>
            </w:tcMar>
            <w:vAlign w:val="center"/>
          </w:tcPr>
          <w:p>
            <w:pPr>
              <w:spacing w:after="40"/>
            </w:pPr>
            <w:r>
              <w:rPr>
                <w:sz w:val="19"/>
                <w:szCs w:val="19"/>
              </w:rPr>
              <w:t xml:space="preserve">id, name, role, phone, verified</w:t>
            </w:r>
          </w:p>
        </w:tc>
        <w:tc>
          <w:tcPr>
            <w:tcW w:type="dxa" w:w="3100"/>
            <w:tcMar>
              <w:top w:type="dxa" w:w="80"/>
              <w:left w:type="dxa" w:w="100"/>
              <w:bottom w:type="dxa" w:w="80"/>
              <w:right w:type="dxa" w:w="100"/>
            </w:tcMar>
            <w:vAlign w:val="center"/>
          </w:tcPr>
          <w:p>
            <w:pPr>
              <w:spacing w:after="40"/>
            </w:pPr>
            <w:r>
              <w:rPr>
                <w:sz w:val="19"/>
                <w:szCs w:val="19"/>
              </w:rPr>
              <w:t xml:space="preserve">Owns CropListing; places Order</w:t>
            </w:r>
          </w:p>
        </w:tc>
      </w:tr>
      <w:tr>
        <w:tc>
          <w:tcPr>
            <w:tcW w:type="dxa" w:w="1600"/>
            <w:shd w:fill="F5F8F6" w:val="clear"/>
            <w:tcMar>
              <w:top w:type="dxa" w:w="80"/>
              <w:left w:type="dxa" w:w="100"/>
              <w:bottom w:type="dxa" w:w="80"/>
              <w:right w:type="dxa" w:w="100"/>
            </w:tcMar>
            <w:vAlign w:val="center"/>
          </w:tcPr>
          <w:p>
            <w:pPr>
              <w:spacing w:after="40"/>
            </w:pPr>
            <w:r>
              <w:rPr>
                <w:sz w:val="19"/>
                <w:szCs w:val="19"/>
              </w:rPr>
              <w:t xml:space="preserve">CropListing</w:t>
            </w:r>
          </w:p>
        </w:tc>
        <w:tc>
          <w:tcPr>
            <w:tcW w:type="dxa" w:w="4300"/>
            <w:shd w:fill="F5F8F6" w:val="clear"/>
            <w:tcMar>
              <w:top w:type="dxa" w:w="80"/>
              <w:left w:type="dxa" w:w="100"/>
              <w:bottom w:type="dxa" w:w="80"/>
              <w:right w:type="dxa" w:w="100"/>
            </w:tcMar>
            <w:vAlign w:val="center"/>
          </w:tcPr>
          <w:p>
            <w:pPr>
              <w:spacing w:after="40"/>
            </w:pPr>
            <w:r>
              <w:rPr>
                <w:sz w:val="19"/>
                <w:szCs w:val="19"/>
              </w:rPr>
              <w:t xml:space="preserve">id, farmerId, cropType, quantity, price, harvestDate, photoUrl, status</w:t>
            </w:r>
          </w:p>
        </w:tc>
        <w:tc>
          <w:tcPr>
            <w:tcW w:type="dxa" w:w="3100"/>
            <w:shd w:fill="F5F8F6" w:val="clear"/>
            <w:tcMar>
              <w:top w:type="dxa" w:w="80"/>
              <w:left w:type="dxa" w:w="100"/>
              <w:bottom w:type="dxa" w:w="80"/>
              <w:right w:type="dxa" w:w="100"/>
            </w:tcMar>
            <w:vAlign w:val="center"/>
          </w:tcPr>
          <w:p>
            <w:pPr>
              <w:spacing w:after="40"/>
            </w:pPr>
            <w:r>
              <w:rPr>
                <w:sz w:val="19"/>
                <w:szCs w:val="19"/>
              </w:rPr>
              <w:t xml:space="preserve">Belongs to User; referenced by OrderItem</w:t>
            </w:r>
          </w:p>
        </w:tc>
      </w:tr>
      <w:tr>
        <w:tc>
          <w:tcPr>
            <w:tcW w:type="dxa" w:w="1600"/>
            <w:tcMar>
              <w:top w:type="dxa" w:w="80"/>
              <w:left w:type="dxa" w:w="100"/>
              <w:bottom w:type="dxa" w:w="80"/>
              <w:right w:type="dxa" w:w="100"/>
            </w:tcMar>
            <w:vAlign w:val="center"/>
          </w:tcPr>
          <w:p>
            <w:pPr>
              <w:spacing w:after="40"/>
            </w:pPr>
            <w:r>
              <w:rPr>
                <w:sz w:val="19"/>
                <w:szCs w:val="19"/>
              </w:rPr>
              <w:t xml:space="preserve">Order</w:t>
            </w:r>
          </w:p>
        </w:tc>
        <w:tc>
          <w:tcPr>
            <w:tcW w:type="dxa" w:w="4300"/>
            <w:tcMar>
              <w:top w:type="dxa" w:w="80"/>
              <w:left w:type="dxa" w:w="100"/>
              <w:bottom w:type="dxa" w:w="80"/>
              <w:right w:type="dxa" w:w="100"/>
            </w:tcMar>
            <w:vAlign w:val="center"/>
          </w:tcPr>
          <w:p>
            <w:pPr>
              <w:spacing w:after="40"/>
            </w:pPr>
            <w:r>
              <w:rPr>
                <w:sz w:val="19"/>
                <w:szCs w:val="19"/>
              </w:rPr>
              <w:t xml:space="preserve">id, buyerId, listingId, status, totalAmount, createdAt</w:t>
            </w:r>
          </w:p>
        </w:tc>
        <w:tc>
          <w:tcPr>
            <w:tcW w:type="dxa" w:w="3100"/>
            <w:tcMar>
              <w:top w:type="dxa" w:w="80"/>
              <w:left w:type="dxa" w:w="100"/>
              <w:bottom w:type="dxa" w:w="80"/>
              <w:right w:type="dxa" w:w="100"/>
            </w:tcMar>
            <w:vAlign w:val="center"/>
          </w:tcPr>
          <w:p>
            <w:pPr>
              <w:spacing w:after="40"/>
            </w:pPr>
            <w:r>
              <w:rPr>
                <w:sz w:val="19"/>
                <w:szCs w:val="19"/>
              </w:rPr>
              <w:t xml:space="preserve">Has many OrderItem; has one Shipment and one Payment</w:t>
            </w:r>
          </w:p>
        </w:tc>
      </w:tr>
      <w:tr>
        <w:tc>
          <w:tcPr>
            <w:tcW w:type="dxa" w:w="1600"/>
            <w:shd w:fill="F5F8F6" w:val="clear"/>
            <w:tcMar>
              <w:top w:type="dxa" w:w="80"/>
              <w:left w:type="dxa" w:w="100"/>
              <w:bottom w:type="dxa" w:w="80"/>
              <w:right w:type="dxa" w:w="100"/>
            </w:tcMar>
            <w:vAlign w:val="center"/>
          </w:tcPr>
          <w:p>
            <w:pPr>
              <w:spacing w:after="40"/>
            </w:pPr>
            <w:r>
              <w:rPr>
                <w:sz w:val="19"/>
                <w:szCs w:val="19"/>
              </w:rPr>
              <w:t xml:space="preserve">OrderItem</w:t>
            </w:r>
          </w:p>
        </w:tc>
        <w:tc>
          <w:tcPr>
            <w:tcW w:type="dxa" w:w="4300"/>
            <w:shd w:fill="F5F8F6" w:val="clear"/>
            <w:tcMar>
              <w:top w:type="dxa" w:w="80"/>
              <w:left w:type="dxa" w:w="100"/>
              <w:bottom w:type="dxa" w:w="80"/>
              <w:right w:type="dxa" w:w="100"/>
            </w:tcMar>
            <w:vAlign w:val="center"/>
          </w:tcPr>
          <w:p>
            <w:pPr>
              <w:spacing w:after="40"/>
            </w:pPr>
            <w:r>
              <w:rPr>
                <w:sz w:val="19"/>
                <w:szCs w:val="19"/>
              </w:rPr>
              <w:t xml:space="preserve">id, orderId, listingId, quantity, unitPrice</w:t>
            </w:r>
          </w:p>
        </w:tc>
        <w:tc>
          <w:tcPr>
            <w:tcW w:type="dxa" w:w="3100"/>
            <w:shd w:fill="F5F8F6" w:val="clear"/>
            <w:tcMar>
              <w:top w:type="dxa" w:w="80"/>
              <w:left w:type="dxa" w:w="100"/>
              <w:bottom w:type="dxa" w:w="80"/>
              <w:right w:type="dxa" w:w="100"/>
            </w:tcMar>
            <w:vAlign w:val="center"/>
          </w:tcPr>
          <w:p>
            <w:pPr>
              <w:spacing w:after="40"/>
            </w:pPr>
            <w:r>
              <w:rPr>
                <w:sz w:val="19"/>
                <w:szCs w:val="19"/>
              </w:rPr>
              <w:t xml:space="preserve">Belongs to Order</w:t>
            </w:r>
          </w:p>
        </w:tc>
      </w:tr>
      <w:tr>
        <w:tc>
          <w:tcPr>
            <w:tcW w:type="dxa" w:w="1600"/>
            <w:tcMar>
              <w:top w:type="dxa" w:w="80"/>
              <w:left w:type="dxa" w:w="100"/>
              <w:bottom w:type="dxa" w:w="80"/>
              <w:right w:type="dxa" w:w="100"/>
            </w:tcMar>
            <w:vAlign w:val="center"/>
          </w:tcPr>
          <w:p>
            <w:pPr>
              <w:spacing w:after="40"/>
            </w:pPr>
            <w:r>
              <w:rPr>
                <w:sz w:val="19"/>
                <w:szCs w:val="19"/>
              </w:rPr>
              <w:t xml:space="preserve">Shipment</w:t>
            </w:r>
          </w:p>
        </w:tc>
        <w:tc>
          <w:tcPr>
            <w:tcW w:type="dxa" w:w="4300"/>
            <w:tcMar>
              <w:top w:type="dxa" w:w="80"/>
              <w:left w:type="dxa" w:w="100"/>
              <w:bottom w:type="dxa" w:w="80"/>
              <w:right w:type="dxa" w:w="100"/>
            </w:tcMar>
            <w:vAlign w:val="center"/>
          </w:tcPr>
          <w:p>
            <w:pPr>
              <w:spacing w:after="40"/>
            </w:pPr>
            <w:r>
              <w:rPr>
                <w:sz w:val="19"/>
                <w:szCs w:val="19"/>
              </w:rPr>
              <w:t xml:space="preserve">id, orderId, logisticsPartnerId, status, eta</w:t>
            </w:r>
          </w:p>
        </w:tc>
        <w:tc>
          <w:tcPr>
            <w:tcW w:type="dxa" w:w="3100"/>
            <w:tcMar>
              <w:top w:type="dxa" w:w="80"/>
              <w:left w:type="dxa" w:w="100"/>
              <w:bottom w:type="dxa" w:w="80"/>
              <w:right w:type="dxa" w:w="100"/>
            </w:tcMar>
            <w:vAlign w:val="center"/>
          </w:tcPr>
          <w:p>
            <w:pPr>
              <w:spacing w:after="40"/>
            </w:pPr>
            <w:r>
              <w:rPr>
                <w:sz w:val="19"/>
                <w:szCs w:val="19"/>
              </w:rPr>
              <w:t xml:space="preserve">Belongs to Order</w:t>
            </w:r>
          </w:p>
        </w:tc>
      </w:tr>
      <w:tr>
        <w:tc>
          <w:tcPr>
            <w:tcW w:type="dxa" w:w="1600"/>
            <w:shd w:fill="F5F8F6" w:val="clear"/>
            <w:tcMar>
              <w:top w:type="dxa" w:w="80"/>
              <w:left w:type="dxa" w:w="100"/>
              <w:bottom w:type="dxa" w:w="80"/>
              <w:right w:type="dxa" w:w="100"/>
            </w:tcMar>
            <w:vAlign w:val="center"/>
          </w:tcPr>
          <w:p>
            <w:pPr>
              <w:spacing w:after="40"/>
            </w:pPr>
            <w:r>
              <w:rPr>
                <w:sz w:val="19"/>
                <w:szCs w:val="19"/>
              </w:rPr>
              <w:t xml:space="preserve">Payment</w:t>
            </w:r>
          </w:p>
        </w:tc>
        <w:tc>
          <w:tcPr>
            <w:tcW w:type="dxa" w:w="4300"/>
            <w:shd w:fill="F5F8F6" w:val="clear"/>
            <w:tcMar>
              <w:top w:type="dxa" w:w="80"/>
              <w:left w:type="dxa" w:w="100"/>
              <w:bottom w:type="dxa" w:w="80"/>
              <w:right w:type="dxa" w:w="100"/>
            </w:tcMar>
            <w:vAlign w:val="center"/>
          </w:tcPr>
          <w:p>
            <w:pPr>
              <w:spacing w:after="40"/>
            </w:pPr>
            <w:r>
              <w:rPr>
                <w:sz w:val="19"/>
                <w:szCs w:val="19"/>
              </w:rPr>
              <w:t xml:space="preserve">id, orderId, gatewayRef, status, amount</w:t>
            </w:r>
          </w:p>
        </w:tc>
        <w:tc>
          <w:tcPr>
            <w:tcW w:type="dxa" w:w="3100"/>
            <w:shd w:fill="F5F8F6" w:val="clear"/>
            <w:tcMar>
              <w:top w:type="dxa" w:w="80"/>
              <w:left w:type="dxa" w:w="100"/>
              <w:bottom w:type="dxa" w:w="80"/>
              <w:right w:type="dxa" w:w="100"/>
            </w:tcMar>
            <w:vAlign w:val="center"/>
          </w:tcPr>
          <w:p>
            <w:pPr>
              <w:spacing w:after="40"/>
            </w:pPr>
            <w:r>
              <w:rPr>
                <w:sz w:val="19"/>
                <w:szCs w:val="19"/>
              </w:rPr>
              <w:t xml:space="preserve">Belongs to Order</w:t>
            </w:r>
          </w:p>
        </w:tc>
      </w:tr>
      <w:tr>
        <w:tc>
          <w:tcPr>
            <w:tcW w:type="dxa" w:w="1600"/>
            <w:tcMar>
              <w:top w:type="dxa" w:w="80"/>
              <w:left w:type="dxa" w:w="100"/>
              <w:bottom w:type="dxa" w:w="80"/>
              <w:right w:type="dxa" w:w="100"/>
            </w:tcMar>
            <w:vAlign w:val="center"/>
          </w:tcPr>
          <w:p>
            <w:pPr>
              <w:spacing w:after="40"/>
            </w:pPr>
            <w:r>
              <w:rPr>
                <w:sz w:val="19"/>
                <w:szCs w:val="19"/>
              </w:rPr>
              <w:t xml:space="preserve">PriceRecord</w:t>
            </w:r>
          </w:p>
        </w:tc>
        <w:tc>
          <w:tcPr>
            <w:tcW w:type="dxa" w:w="4300"/>
            <w:tcMar>
              <w:top w:type="dxa" w:w="80"/>
              <w:left w:type="dxa" w:w="100"/>
              <w:bottom w:type="dxa" w:w="80"/>
              <w:right w:type="dxa" w:w="100"/>
            </w:tcMar>
            <w:vAlign w:val="center"/>
          </w:tcPr>
          <w:p>
            <w:pPr>
              <w:spacing w:after="40"/>
            </w:pPr>
            <w:r>
              <w:rPr>
                <w:sz w:val="19"/>
                <w:szCs w:val="19"/>
              </w:rPr>
              <w:t xml:space="preserve">id, cropId, market, price, recordedAt</w:t>
            </w:r>
          </w:p>
        </w:tc>
        <w:tc>
          <w:tcPr>
            <w:tcW w:type="dxa" w:w="3100"/>
            <w:tcMar>
              <w:top w:type="dxa" w:w="80"/>
              <w:left w:type="dxa" w:w="100"/>
              <w:bottom w:type="dxa" w:w="80"/>
              <w:right w:type="dxa" w:w="100"/>
            </w:tcMar>
            <w:vAlign w:val="center"/>
          </w:tcPr>
          <w:p>
            <w:pPr>
              <w:spacing w:after="40"/>
            </w:pPr>
            <w:r>
              <w:rPr>
                <w:sz w:val="19"/>
                <w:szCs w:val="19"/>
              </w:rPr>
              <w:t xml:space="preserve">Referenced by Market Price Engine</w:t>
            </w:r>
          </w:p>
        </w:tc>
      </w:tr>
      <w:tr>
        <w:tc>
          <w:tcPr>
            <w:tcW w:type="dxa" w:w="1600"/>
            <w:shd w:fill="F5F8F6" w:val="clear"/>
            <w:tcMar>
              <w:top w:type="dxa" w:w="80"/>
              <w:left w:type="dxa" w:w="100"/>
              <w:bottom w:type="dxa" w:w="80"/>
              <w:right w:type="dxa" w:w="100"/>
            </w:tcMar>
            <w:vAlign w:val="center"/>
          </w:tcPr>
          <w:p>
            <w:pPr>
              <w:spacing w:after="40"/>
            </w:pPr>
            <w:r>
              <w:rPr>
                <w:sz w:val="19"/>
                <w:szCs w:val="19"/>
              </w:rPr>
              <w:t xml:space="preserve">NotificationLog</w:t>
            </w:r>
          </w:p>
        </w:tc>
        <w:tc>
          <w:tcPr>
            <w:tcW w:type="dxa" w:w="4300"/>
            <w:shd w:fill="F5F8F6" w:val="clear"/>
            <w:tcMar>
              <w:top w:type="dxa" w:w="80"/>
              <w:left w:type="dxa" w:w="100"/>
              <w:bottom w:type="dxa" w:w="80"/>
              <w:right w:type="dxa" w:w="100"/>
            </w:tcMar>
            <w:vAlign w:val="center"/>
          </w:tcPr>
          <w:p>
            <w:pPr>
              <w:spacing w:after="40"/>
            </w:pPr>
            <w:r>
              <w:rPr>
                <w:sz w:val="19"/>
                <w:szCs w:val="19"/>
              </w:rPr>
              <w:t xml:space="preserve">id, userId, channel, message, status, sentAt</w:t>
            </w:r>
          </w:p>
        </w:tc>
        <w:tc>
          <w:tcPr>
            <w:tcW w:type="dxa" w:w="3100"/>
            <w:shd w:fill="F5F8F6" w:val="clear"/>
            <w:tcMar>
              <w:top w:type="dxa" w:w="80"/>
              <w:left w:type="dxa" w:w="100"/>
              <w:bottom w:type="dxa" w:w="80"/>
              <w:right w:type="dxa" w:w="100"/>
            </w:tcMar>
            <w:vAlign w:val="center"/>
          </w:tcPr>
          <w:p>
            <w:pPr>
              <w:spacing w:after="40"/>
            </w:pPr>
            <w:r>
              <w:rPr>
                <w:sz w:val="19"/>
                <w:szCs w:val="19"/>
              </w:rPr>
              <w:t xml:space="preserve">Belongs to User</w:t>
            </w:r>
          </w:p>
        </w:tc>
      </w:tr>
    </w:tbl>
    <w:p>
      <w:pPr>
        <w:pStyle w:val="Heading1"/>
        <w:spacing w:after="180" w:before="360"/>
      </w:pPr>
      <w:r>
        <w:t xml:space="preserve">7. Sequence Diagram: Place Order Flow</w:t>
      </w:r>
    </w:p>
    <w:p>
      <w:pPr>
        <w:spacing w:after="160" w:line="300"/>
      </w:pPr>
      <w:r>
        <w:t xml:space="preserve">The sequence diagram below traces a complete “place and confirm order” transaction end-to-end, corresponding to Use Case UC-2 from the Week 1 report. It illustrates how the API Gateway, Order &amp; Logistics Service, Payment Gateway, Message Queue, and Notification Service collaborate, and shows explicitly where the flow is synchronous (the buyer waits for a response) versus asynchronous (the farmer's notification is decoupled from the buyer's confirmation).</w:t>
      </w:r>
    </w:p>
    <w:p>
      <w:pPr>
        <w:spacing w:after="40" w:before="200" w:line="240" w:lineRule="auto"/>
        <w:jc w:val="center"/>
      </w:pPr>
      <w:r>
        <w:drawing>
          <wp:inline distT="0" distB="0" distL="0" distR="0">
            <wp:extent cx="5715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371975"/>
                    </a:xfrm>
                    <a:prstGeom prst="rect">
                      <a:avLst/>
                    </a:prstGeom>
                  </pic:spPr>
                </pic:pic>
              </a:graphicData>
            </a:graphic>
          </wp:inline>
        </w:drawing>
      </w:r>
    </w:p>
    <w:p>
      <w:pPr>
        <w:spacing w:after="300" w:before="100"/>
        <w:jc w:val="center"/>
      </w:pPr>
      <w:r>
        <w:rPr>
          <w:i/>
          <w:iCs/>
          <w:color w:val="555555"/>
          <w:sz w:val="19"/>
          <w:szCs w:val="19"/>
        </w:rPr>
        <w:t xml:space="preserve">Figure 2: Sequence diagram for the place-and-confirm-order flow.</w:t>
      </w:r>
    </w:p>
    <w:p>
      <w:pPr>
        <w:pStyle w:val="Heading3"/>
        <w:spacing w:after="100" w:before="200"/>
      </w:pPr>
      <w:r>
        <w:t xml:space="preserve">Flow Walkthrough</w:t>
      </w:r>
    </w:p>
    <w:p>
      <w:pPr>
        <w:pStyle w:val="ListParagraph"/>
        <w:numPr>
          <w:ilvl w:val="0"/>
          <w:numId w:val="2"/>
        </w:numPr>
        <w:spacing w:after="90" w:line="280"/>
      </w:pPr>
      <w:r>
        <w:t xml:space="preserve">Steps 1–2: the buyer's app submits an order through the API Gateway, which validates the JWT and forwards the request to the Order &amp; Logistics Service.</w:t>
      </w:r>
    </w:p>
    <w:p>
      <w:pPr>
        <w:pStyle w:val="ListParagraph"/>
        <w:numPr>
          <w:ilvl w:val="0"/>
          <w:numId w:val="2"/>
        </w:numPr>
        <w:spacing w:after="90" w:line="280"/>
      </w:pPr>
      <w:r>
        <w:t xml:space="preserve">Steps 3–4: the Order &amp; Logistics Service charges the order total via the Payment Gateway and waits synchronously for confirmation before proceeding – payment failure at this point aborts the order with no side effects.</w:t>
      </w:r>
    </w:p>
    <w:p>
      <w:pPr>
        <w:pStyle w:val="ListParagraph"/>
        <w:numPr>
          <w:ilvl w:val="0"/>
          <w:numId w:val="2"/>
        </w:numPr>
        <w:spacing w:after="90" w:line="280"/>
      </w:pPr>
      <w:r>
        <w:t xml:space="preserve">Step 5: once payment is confirmed, the service publishes an OrderConfirmed event to the message queue and does not wait for it to be processed.</w:t>
      </w:r>
    </w:p>
    <w:p>
      <w:pPr>
        <w:pStyle w:val="ListParagraph"/>
        <w:numPr>
          <w:ilvl w:val="0"/>
          <w:numId w:val="2"/>
        </w:numPr>
        <w:spacing w:after="90" w:line="280"/>
      </w:pPr>
      <w:r>
        <w:t xml:space="preserve">Steps 6–7: the Notification Service consumes the event asynchronously and dispatches an SMS/push alert to the farmer – this happens independently of the buyer's response time.</w:t>
      </w:r>
    </w:p>
    <w:p>
      <w:pPr>
        <w:pStyle w:val="ListParagraph"/>
        <w:numPr>
          <w:ilvl w:val="0"/>
          <w:numId w:val="2"/>
        </w:numPr>
        <w:spacing w:after="90" w:line="280"/>
      </w:pPr>
      <w:r>
        <w:t xml:space="preserve">Steps 8–9: the Order &amp; Logistics Service returns the order confirmation to the API Gateway, which responds to the buyer with a 201 Created and the order ID.</w:t>
      </w:r>
    </w:p>
    <w:p>
      <w:pPr>
        <w:spacing w:after="160" w:line="300"/>
      </w:pPr>
      <w:r>
        <w:t xml:space="preserve">This separation is what allows NFR-1 (3-second screen load) to hold even if the SMS gateway is slow: the buyer's request completes as soon as payment is confirmed, not after the farmer has been notified.</w:t>
      </w:r>
    </w:p>
    <w:p>
      <w:pPr>
        <w:pStyle w:val="Heading1"/>
        <w:spacing w:after="180" w:before="360"/>
      </w:pPr>
      <w:r>
        <w:t xml:space="preserve">8. Deployment Architecture</w:t>
      </w:r>
    </w:p>
    <w:p>
      <w:pPr>
        <w:spacing w:after="160" w:line="300"/>
      </w:pPr>
      <w:r>
        <w:t xml:space="preserve">AgriConnect is deployed as a set of containerised services within a single cloud region, fronted by a CDN and load balancer, with asynchronous workers and a managed data tier alongside. This topology was chosen to balance the scalability and cost-efficiency goals from Section 1.4: it is elastic where it needs to be (the application tier) without requiring a large permanent operations team, by relying on managed services for the data tier, message queue, and CDN.</w:t>
      </w:r>
    </w:p>
    <w:p>
      <w:pPr>
        <w:spacing w:after="40" w:before="200" w:line="240" w:lineRule="auto"/>
        <w:jc w:val="center"/>
      </w:pPr>
      <w:r>
        <w:drawing>
          <wp:inline distT="0" distB="0" distL="0" distR="0">
            <wp:extent cx="57150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657725"/>
                    </a:xfrm>
                    <a:prstGeom prst="rect">
                      <a:avLst/>
                    </a:prstGeom>
                  </pic:spPr>
                </pic:pic>
              </a:graphicData>
            </a:graphic>
          </wp:inline>
        </w:drawing>
      </w:r>
    </w:p>
    <w:p>
      <w:pPr>
        <w:spacing w:after="300" w:before="100"/>
        <w:jc w:val="center"/>
      </w:pPr>
      <w:r>
        <w:rPr>
          <w:i/>
          <w:iCs/>
          <w:color w:val="555555"/>
          <w:sz w:val="19"/>
          <w:szCs w:val="19"/>
        </w:rPr>
        <w:t xml:space="preserve">Figure 3: Deployment and infrastructure view for AgriConnect.</w:t>
      </w:r>
    </w:p>
    <w:p>
      <w:pPr>
        <w:pStyle w:val="Heading3"/>
        <w:spacing w:after="100" w:before="200"/>
      </w:pPr>
      <w:r>
        <w:t xml:space="preserve">Zone-by-Zone Summary</w:t>
      </w:r>
    </w:p>
    <w:p>
      <w:pPr>
        <w:pStyle w:val="ListParagraph"/>
        <w:numPr>
          <w:ilvl w:val="0"/>
          <w:numId w:val="2"/>
        </w:numPr>
        <w:spacing w:after="90" w:line="280"/>
      </w:pPr>
      <w:r>
        <w:t xml:space="preserve">Edge – a CDN and load balancer terminate TLS and route traffic to the application tier, also caching static assets close to users.</w:t>
      </w:r>
    </w:p>
    <w:p>
      <w:pPr>
        <w:pStyle w:val="ListParagraph"/>
        <w:numPr>
          <w:ilvl w:val="0"/>
          <w:numId w:val="2"/>
        </w:numPr>
        <w:spacing w:after="90" w:line="280"/>
      </w:pPr>
      <w:r>
        <w:t xml:space="preserve">Application Tier – a single-region, auto-scaled container cluster running the API Gateway and all six microservices, each with at least two replicas and horizontal pod autoscaling based on CPU and queue depth.</w:t>
      </w:r>
    </w:p>
    <w:p>
      <w:pPr>
        <w:pStyle w:val="ListParagraph"/>
        <w:numPr>
          <w:ilvl w:val="0"/>
          <w:numId w:val="2"/>
        </w:numPr>
        <w:spacing w:after="90" w:line="280"/>
      </w:pPr>
      <w:r>
        <w:t xml:space="preserve">Async Workers – a managed message queue and a Notification Worker process events without blocking the request path, dispatching directly to the SMS/push gateway.</w:t>
      </w:r>
    </w:p>
    <w:p>
      <w:pPr>
        <w:pStyle w:val="ListParagraph"/>
        <w:numPr>
          <w:ilvl w:val="0"/>
          <w:numId w:val="2"/>
        </w:numPr>
        <w:spacing w:after="90" w:line="280"/>
      </w:pPr>
      <w:r>
        <w:t xml:space="preserve">Data Tier – a PostgreSQL primary handles writes, a read replica serves analytics and reporting queries, Redis serves hot cached data, and object storage holds crop photos, all backed by automated daily backups with point-in-time recovery.</w:t>
      </w:r>
    </w:p>
    <w:p>
      <w:pPr>
        <w:pStyle w:val="ListParagraph"/>
        <w:numPr>
          <w:ilvl w:val="0"/>
          <w:numId w:val="2"/>
        </w:numPr>
        <w:spacing w:after="90" w:line="280"/>
      </w:pPr>
      <w:r>
        <w:t xml:space="preserve">External Third-Party APIs – the payment gateway, government mandi price API, weather advisory API, and SMS/push gateway, each reached only through the owning service's adapter.</w:t>
      </w:r>
    </w:p>
    <w:p>
      <w:pPr>
        <w:pStyle w:val="ListParagraph"/>
        <w:numPr>
          <w:ilvl w:val="0"/>
          <w:numId w:val="2"/>
        </w:numPr>
        <w:spacing w:after="90" w:line="280"/>
      </w:pPr>
      <w:r>
        <w:t xml:space="preserve">Observability &amp; CI/CD – centralized logging and metrics dashboards support the 99.5% availability target (NFR-6), with an automated pipeline promoting builds through staging, canary, and production.</w:t>
      </w:r>
    </w:p>
    <w:p>
      <w:pPr>
        <w:pStyle w:val="Heading1"/>
        <w:spacing w:after="180" w:before="360"/>
      </w:pPr>
      <w:r>
        <w:t xml:space="preserve">9. Design Rationale</w:t>
      </w:r>
    </w:p>
    <w:p>
      <w:pPr>
        <w:pStyle w:val="Heading2"/>
        <w:spacing w:after="140" w:before="260"/>
      </w:pPr>
      <w:r>
        <w:t xml:space="preserve">9.1 Scalability</w:t>
      </w:r>
    </w:p>
    <w:p>
      <w:pPr>
        <w:spacing w:after="160" w:line="300"/>
      </w:pPr>
      <w:r>
        <w:t xml:space="preserve">Each microservice scales independently, so a spike in price-checking traffic during a harvest window can scale the Market Price Engine without over-provisioning less-loaded services such as Analytics. Horizontal pod autoscaling responds to CPU usage and, for the Order &amp; Logistics Service, to message queue depth. The database read replica offloads analytics and reporting queries from the transactional primary, and Redis caching of price and session data reduces database load for the platform's most frequently read information. The message queue absorbs bursts of order-confirmation notifications during peak selling periods without slowing order placement itself.</w:t>
      </w:r>
    </w:p>
    <w:p>
      <w:pPr>
        <w:pStyle w:val="Heading2"/>
        <w:spacing w:after="140" w:before="260"/>
      </w:pPr>
      <w:r>
        <w:t xml:space="preserve">9.2 Security</w:t>
      </w:r>
    </w:p>
    <w:p>
      <w:pPr>
        <w:spacing w:after="160" w:line="300"/>
      </w:pPr>
      <w:r>
        <w:t xml:space="preserve">All traffic is encrypted in transit via TLS 1.2 or higher, terminated at the edge. Authentication uses JWT/OAuth2 issued by the User &amp; Auth Service and validated at the API Gateway on every request, with role-based access control enforced for administrative functions (Week 1 NFR-3, NFR-4). Data is encrypted at rest in both the database and object storage. Payment card details are never stored on AgriConnect infrastructure; the Order &amp; Logistics Service holds only a gateway reference and status, delegating card handling and PCI-DSS scope to the payment gateway. The API Gateway also applies rate limiting and input validation before requests reach any service, and all critical transactions are captured in centralized logs to satisfy the Week 1 audit requirement (FR-27).</w:t>
      </w:r>
    </w:p>
    <w:p>
      <w:pPr>
        <w:pStyle w:val="Heading2"/>
        <w:spacing w:after="140" w:before="260"/>
      </w:pPr>
      <w:r>
        <w:t xml:space="preserve">9.3 Modularity</w:t>
      </w:r>
    </w:p>
    <w:p>
      <w:pPr>
        <w:spacing w:after="160" w:line="300"/>
      </w:pPr>
      <w:r>
        <w:t xml:space="preserve">Service boundaries mirror the six functional modules defined in Week 1 exactly, so a change to a single business requirement maps to a change in a single service rather than a cross-cutting change across the codebase. Services communicate only through versioned REST APIs and the shared event bus, never through a shared database table, which keeps them independently deployable. External integrations are isolated behind adapters inside the owning service (for example, the Market Price Engine's Govt. Mandi API adapter), so a change to a third-party API's contract is contained to one place rather than rippling through the system.</w:t>
      </w:r>
    </w:p>
    <w:p>
      <w:pPr>
        <w:pStyle w:val="Heading1"/>
        <w:spacing w:after="180" w:before="360"/>
      </w:pPr>
      <w:r>
        <w:t xml:space="preserve">10. Technology Stack Recommendations</w:t>
      </w:r>
    </w:p>
    <w:p>
      <w:pPr>
        <w:spacing w:after="160" w:line="300"/>
      </w:pPr>
      <w:r>
        <w:t xml:space="preserve">The following stack was selected to balance developer productivity, operational simplicity for a small team, and the architectural goals from Section 1.4. All choices favour managed services over self-hosted infrastructure wherever a suitable managed option exists.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300"/>
      </w:tblGrid>
      <w:tr>
        <w:trPr>
          <w:tblHeader/>
        </w:trPr>
        <w:tc>
          <w:tcPr>
            <w:tcW w:type="dxa" w:w="1800"/>
            <w:shd w:fill="1F3A2D" w:val="clear"/>
            <w:tcMar>
              <w:top w:type="dxa" w:w="80"/>
              <w:left w:type="dxa" w:w="100"/>
              <w:bottom w:type="dxa" w:w="80"/>
              <w:right w:type="dxa" w:w="100"/>
            </w:tcMar>
            <w:vAlign w:val="center"/>
          </w:tcPr>
          <w:p>
            <w:pPr>
              <w:spacing w:after="40"/>
            </w:pPr>
            <w:r>
              <w:rPr>
                <w:b/>
                <w:bCs/>
                <w:color w:val="FFFFFF"/>
                <w:sz w:val="19"/>
                <w:szCs w:val="19"/>
              </w:rPr>
              <w:t xml:space="preserve">Layer</w:t>
            </w:r>
          </w:p>
        </w:tc>
        <w:tc>
          <w:tcPr>
            <w:tcW w:type="dxa" w:w="2700"/>
            <w:shd w:fill="1F3A2D" w:val="clear"/>
            <w:tcMar>
              <w:top w:type="dxa" w:w="80"/>
              <w:left w:type="dxa" w:w="100"/>
              <w:bottom w:type="dxa" w:w="80"/>
              <w:right w:type="dxa" w:w="100"/>
            </w:tcMar>
            <w:vAlign w:val="center"/>
          </w:tcPr>
          <w:p>
            <w:pPr>
              <w:spacing w:after="40"/>
            </w:pPr>
            <w:r>
              <w:rPr>
                <w:b/>
                <w:bCs/>
                <w:color w:val="FFFFFF"/>
                <w:sz w:val="19"/>
                <w:szCs w:val="19"/>
              </w:rPr>
              <w:t xml:space="preserve">Recommended Technology</w:t>
            </w:r>
          </w:p>
        </w:tc>
        <w:tc>
          <w:tcPr>
            <w:tcW w:type="dxa" w:w="4300"/>
            <w:shd w:fill="1F3A2D" w:val="clear"/>
            <w:tcMar>
              <w:top w:type="dxa" w:w="80"/>
              <w:left w:type="dxa" w:w="100"/>
              <w:bottom w:type="dxa" w:w="80"/>
              <w:right w:type="dxa" w:w="100"/>
            </w:tcMar>
            <w:vAlign w:val="center"/>
          </w:tcPr>
          <w:p>
            <w:pPr>
              <w:spacing w:after="40"/>
            </w:pPr>
            <w:r>
              <w:rPr>
                <w:b/>
                <w:bCs/>
                <w:color w:val="FFFFFF"/>
                <w:sz w:val="19"/>
                <w:szCs w:val="19"/>
              </w:rPr>
              <w:t xml:space="preserve">Rationale</w:t>
            </w:r>
          </w:p>
        </w:tc>
      </w:tr>
      <w:tr>
        <w:tc>
          <w:tcPr>
            <w:tcW w:type="dxa" w:w="1800"/>
            <w:tcMar>
              <w:top w:type="dxa" w:w="80"/>
              <w:left w:type="dxa" w:w="100"/>
              <w:bottom w:type="dxa" w:w="80"/>
              <w:right w:type="dxa" w:w="100"/>
            </w:tcMar>
            <w:vAlign w:val="center"/>
          </w:tcPr>
          <w:p>
            <w:pPr>
              <w:spacing w:after="40"/>
            </w:pPr>
            <w:r>
              <w:rPr>
                <w:sz w:val="19"/>
                <w:szCs w:val="19"/>
              </w:rPr>
              <w:t xml:space="preserve">Mobile Client</w:t>
            </w:r>
          </w:p>
        </w:tc>
        <w:tc>
          <w:tcPr>
            <w:tcW w:type="dxa" w:w="2700"/>
            <w:tcMar>
              <w:top w:type="dxa" w:w="80"/>
              <w:left w:type="dxa" w:w="100"/>
              <w:bottom w:type="dxa" w:w="80"/>
              <w:right w:type="dxa" w:w="100"/>
            </w:tcMar>
            <w:vAlign w:val="center"/>
          </w:tcPr>
          <w:p>
            <w:pPr>
              <w:spacing w:after="40"/>
            </w:pPr>
            <w:r>
              <w:rPr>
                <w:sz w:val="19"/>
                <w:szCs w:val="19"/>
              </w:rPr>
              <w:t xml:space="preserve">React Native</w:t>
            </w:r>
          </w:p>
        </w:tc>
        <w:tc>
          <w:tcPr>
            <w:tcW w:type="dxa" w:w="4300"/>
            <w:tcMar>
              <w:top w:type="dxa" w:w="80"/>
              <w:left w:type="dxa" w:w="100"/>
              <w:bottom w:type="dxa" w:w="80"/>
              <w:right w:type="dxa" w:w="100"/>
            </w:tcMar>
            <w:vAlign w:val="center"/>
          </w:tcPr>
          <w:p>
            <w:pPr>
              <w:spacing w:after="40"/>
            </w:pPr>
            <w:r>
              <w:rPr>
                <w:sz w:val="19"/>
                <w:szCs w:val="19"/>
              </w:rPr>
              <w:t xml:space="preserve">Single codebase for Android and iOS; mature offline-storage libraries suit intermittent connectivity.</w:t>
            </w:r>
          </w:p>
        </w:tc>
      </w:tr>
      <w:tr>
        <w:tc>
          <w:tcPr>
            <w:tcW w:type="dxa" w:w="1800"/>
            <w:shd w:fill="F5F8F6" w:val="clear"/>
            <w:tcMar>
              <w:top w:type="dxa" w:w="80"/>
              <w:left w:type="dxa" w:w="100"/>
              <w:bottom w:type="dxa" w:w="80"/>
              <w:right w:type="dxa" w:w="100"/>
            </w:tcMar>
            <w:vAlign w:val="center"/>
          </w:tcPr>
          <w:p>
            <w:pPr>
              <w:spacing w:after="40"/>
            </w:pPr>
            <w:r>
              <w:rPr>
                <w:sz w:val="19"/>
                <w:szCs w:val="19"/>
              </w:rPr>
              <w:t xml:space="preserve">Admin Web Dashboard</w:t>
            </w:r>
          </w:p>
        </w:tc>
        <w:tc>
          <w:tcPr>
            <w:tcW w:type="dxa" w:w="2700"/>
            <w:shd w:fill="F5F8F6" w:val="clear"/>
            <w:tcMar>
              <w:top w:type="dxa" w:w="80"/>
              <w:left w:type="dxa" w:w="100"/>
              <w:bottom w:type="dxa" w:w="80"/>
              <w:right w:type="dxa" w:w="100"/>
            </w:tcMar>
            <w:vAlign w:val="center"/>
          </w:tcPr>
          <w:p>
            <w:pPr>
              <w:spacing w:after="40"/>
            </w:pPr>
            <w:r>
              <w:rPr>
                <w:sz w:val="19"/>
                <w:szCs w:val="19"/>
              </w:rPr>
              <w:t xml:space="preserve">React.js</w:t>
            </w:r>
          </w:p>
        </w:tc>
        <w:tc>
          <w:tcPr>
            <w:tcW w:type="dxa" w:w="4300"/>
            <w:shd w:fill="F5F8F6" w:val="clear"/>
            <w:tcMar>
              <w:top w:type="dxa" w:w="80"/>
              <w:left w:type="dxa" w:w="100"/>
              <w:bottom w:type="dxa" w:w="80"/>
              <w:right w:type="dxa" w:w="100"/>
            </w:tcMar>
            <w:vAlign w:val="center"/>
          </w:tcPr>
          <w:p>
            <w:pPr>
              <w:spacing w:after="40"/>
            </w:pPr>
            <w:r>
              <w:rPr>
                <w:sz w:val="19"/>
                <w:szCs w:val="19"/>
              </w:rPr>
              <w:t xml:space="preserve">Fast to build; keeps the team on a single language across client and admin surfaces.</w:t>
            </w:r>
          </w:p>
        </w:tc>
      </w:tr>
      <w:tr>
        <w:tc>
          <w:tcPr>
            <w:tcW w:type="dxa" w:w="1800"/>
            <w:tcMar>
              <w:top w:type="dxa" w:w="80"/>
              <w:left w:type="dxa" w:w="100"/>
              <w:bottom w:type="dxa" w:w="80"/>
              <w:right w:type="dxa" w:w="100"/>
            </w:tcMar>
            <w:vAlign w:val="center"/>
          </w:tcPr>
          <w:p>
            <w:pPr>
              <w:spacing w:after="40"/>
            </w:pPr>
            <w:r>
              <w:rPr>
                <w:sz w:val="19"/>
                <w:szCs w:val="19"/>
              </w:rPr>
              <w:t xml:space="preserve">API Gateway</w:t>
            </w:r>
          </w:p>
        </w:tc>
        <w:tc>
          <w:tcPr>
            <w:tcW w:type="dxa" w:w="2700"/>
            <w:tcMar>
              <w:top w:type="dxa" w:w="80"/>
              <w:left w:type="dxa" w:w="100"/>
              <w:bottom w:type="dxa" w:w="80"/>
              <w:right w:type="dxa" w:w="100"/>
            </w:tcMar>
            <w:vAlign w:val="center"/>
          </w:tcPr>
          <w:p>
            <w:pPr>
              <w:spacing w:after="40"/>
            </w:pPr>
            <w:r>
              <w:rPr>
                <w:sz w:val="19"/>
                <w:szCs w:val="19"/>
              </w:rPr>
              <w:t xml:space="preserve">Managed API Gateway (e.g. Kong or a cloud provider's API Gateway)</w:t>
            </w:r>
          </w:p>
        </w:tc>
        <w:tc>
          <w:tcPr>
            <w:tcW w:type="dxa" w:w="4300"/>
            <w:tcMar>
              <w:top w:type="dxa" w:w="80"/>
              <w:left w:type="dxa" w:w="100"/>
              <w:bottom w:type="dxa" w:w="80"/>
              <w:right w:type="dxa" w:w="100"/>
            </w:tcMar>
            <w:vAlign w:val="center"/>
          </w:tcPr>
          <w:p>
            <w:pPr>
              <w:spacing w:after="40"/>
            </w:pPr>
            <w:r>
              <w:rPr>
                <w:sz w:val="19"/>
                <w:szCs w:val="19"/>
              </w:rPr>
              <w:t xml:space="preserve">Built-in authentication, rate limiting, and routing avoid reimplementing cross-cutting concerns.</w:t>
            </w:r>
          </w:p>
        </w:tc>
      </w:tr>
      <w:tr>
        <w:tc>
          <w:tcPr>
            <w:tcW w:type="dxa" w:w="1800"/>
            <w:shd w:fill="F5F8F6" w:val="clear"/>
            <w:tcMar>
              <w:top w:type="dxa" w:w="80"/>
              <w:left w:type="dxa" w:w="100"/>
              <w:bottom w:type="dxa" w:w="80"/>
              <w:right w:type="dxa" w:w="100"/>
            </w:tcMar>
            <w:vAlign w:val="center"/>
          </w:tcPr>
          <w:p>
            <w:pPr>
              <w:spacing w:after="40"/>
            </w:pPr>
            <w:r>
              <w:rPr>
                <w:sz w:val="19"/>
                <w:szCs w:val="19"/>
              </w:rPr>
              <w:t xml:space="preserve">Backend Services</w:t>
            </w:r>
          </w:p>
        </w:tc>
        <w:tc>
          <w:tcPr>
            <w:tcW w:type="dxa" w:w="2700"/>
            <w:shd w:fill="F5F8F6" w:val="clear"/>
            <w:tcMar>
              <w:top w:type="dxa" w:w="80"/>
              <w:left w:type="dxa" w:w="100"/>
              <w:bottom w:type="dxa" w:w="80"/>
              <w:right w:type="dxa" w:w="100"/>
            </w:tcMar>
            <w:vAlign w:val="center"/>
          </w:tcPr>
          <w:p>
            <w:pPr>
              <w:spacing w:after="40"/>
            </w:pPr>
            <w:r>
              <w:rPr>
                <w:sz w:val="19"/>
                <w:szCs w:val="19"/>
              </w:rPr>
              <w:t xml:space="preserve">Node.js + Express (TypeScript)</w:t>
            </w:r>
          </w:p>
        </w:tc>
        <w:tc>
          <w:tcPr>
            <w:tcW w:type="dxa" w:w="4300"/>
            <w:shd w:fill="F5F8F6" w:val="clear"/>
            <w:tcMar>
              <w:top w:type="dxa" w:w="80"/>
              <w:left w:type="dxa" w:w="100"/>
              <w:bottom w:type="dxa" w:w="80"/>
              <w:right w:type="dxa" w:w="100"/>
            </w:tcMar>
            <w:vAlign w:val="center"/>
          </w:tcPr>
          <w:p>
            <w:pPr>
              <w:spacing w:after="40"/>
            </w:pPr>
            <w:r>
              <w:rPr>
                <w:sz w:val="19"/>
                <w:szCs w:val="19"/>
              </w:rPr>
              <w:t xml:space="preserve">Efficient for I/O-heavy API workloads; one language across the stack simplifies hiring and code review.</w:t>
            </w:r>
          </w:p>
        </w:tc>
      </w:tr>
      <w:tr>
        <w:tc>
          <w:tcPr>
            <w:tcW w:type="dxa" w:w="1800"/>
            <w:tcMar>
              <w:top w:type="dxa" w:w="80"/>
              <w:left w:type="dxa" w:w="100"/>
              <w:bottom w:type="dxa" w:w="80"/>
              <w:right w:type="dxa" w:w="100"/>
            </w:tcMar>
            <w:vAlign w:val="center"/>
          </w:tcPr>
          <w:p>
            <w:pPr>
              <w:spacing w:after="40"/>
            </w:pPr>
            <w:r>
              <w:rPr>
                <w:sz w:val="19"/>
                <w:szCs w:val="19"/>
              </w:rPr>
              <w:t xml:space="preserve">Primary Database</w:t>
            </w:r>
          </w:p>
        </w:tc>
        <w:tc>
          <w:tcPr>
            <w:tcW w:type="dxa" w:w="2700"/>
            <w:tcMar>
              <w:top w:type="dxa" w:w="80"/>
              <w:left w:type="dxa" w:w="100"/>
              <w:bottom w:type="dxa" w:w="80"/>
              <w:right w:type="dxa" w:w="100"/>
            </w:tcMar>
            <w:vAlign w:val="center"/>
          </w:tcPr>
          <w:p>
            <w:pPr>
              <w:spacing w:after="40"/>
            </w:pPr>
            <w:r>
              <w:rPr>
                <w:sz w:val="19"/>
                <w:szCs w:val="19"/>
              </w:rPr>
              <w:t xml:space="preserve">PostgreSQL (managed)</w:t>
            </w:r>
          </w:p>
        </w:tc>
        <w:tc>
          <w:tcPr>
            <w:tcW w:type="dxa" w:w="4300"/>
            <w:tcMar>
              <w:top w:type="dxa" w:w="80"/>
              <w:left w:type="dxa" w:w="100"/>
              <w:bottom w:type="dxa" w:w="80"/>
              <w:right w:type="dxa" w:w="100"/>
            </w:tcMar>
            <w:vAlign w:val="center"/>
          </w:tcPr>
          <w:p>
            <w:pPr>
              <w:spacing w:after="40"/>
            </w:pPr>
            <w:r>
              <w:rPr>
                <w:sz w:val="19"/>
                <w:szCs w:val="19"/>
              </w:rPr>
              <w:t xml:space="preserve">ACID guarantees suit orders and payments; strong relational and JSON support.</w:t>
            </w:r>
          </w:p>
        </w:tc>
      </w:tr>
      <w:tr>
        <w:tc>
          <w:tcPr>
            <w:tcW w:type="dxa" w:w="1800"/>
            <w:shd w:fill="F5F8F6" w:val="clear"/>
            <w:tcMar>
              <w:top w:type="dxa" w:w="80"/>
              <w:left w:type="dxa" w:w="100"/>
              <w:bottom w:type="dxa" w:w="80"/>
              <w:right w:type="dxa" w:w="100"/>
            </w:tcMar>
            <w:vAlign w:val="center"/>
          </w:tcPr>
          <w:p>
            <w:pPr>
              <w:spacing w:after="40"/>
            </w:pPr>
            <w:r>
              <w:rPr>
                <w:sz w:val="19"/>
                <w:szCs w:val="19"/>
              </w:rPr>
              <w:t xml:space="preserve">Cache</w:t>
            </w:r>
          </w:p>
        </w:tc>
        <w:tc>
          <w:tcPr>
            <w:tcW w:type="dxa" w:w="2700"/>
            <w:shd w:fill="F5F8F6" w:val="clear"/>
            <w:tcMar>
              <w:top w:type="dxa" w:w="80"/>
              <w:left w:type="dxa" w:w="100"/>
              <w:bottom w:type="dxa" w:w="80"/>
              <w:right w:type="dxa" w:w="100"/>
            </w:tcMar>
            <w:vAlign w:val="center"/>
          </w:tcPr>
          <w:p>
            <w:pPr>
              <w:spacing w:after="40"/>
            </w:pPr>
            <w:r>
              <w:rPr>
                <w:sz w:val="19"/>
                <w:szCs w:val="19"/>
              </w:rPr>
              <w:t xml:space="preserve">Redis (managed)</w:t>
            </w:r>
          </w:p>
        </w:tc>
        <w:tc>
          <w:tcPr>
            <w:tcW w:type="dxa" w:w="4300"/>
            <w:shd w:fill="F5F8F6" w:val="clear"/>
            <w:tcMar>
              <w:top w:type="dxa" w:w="80"/>
              <w:left w:type="dxa" w:w="100"/>
              <w:bottom w:type="dxa" w:w="80"/>
              <w:right w:type="dxa" w:w="100"/>
            </w:tcMar>
            <w:vAlign w:val="center"/>
          </w:tcPr>
          <w:p>
            <w:pPr>
              <w:spacing w:after="40"/>
            </w:pPr>
            <w:r>
              <w:rPr>
                <w:sz w:val="19"/>
                <w:szCs w:val="19"/>
              </w:rPr>
              <w:t xml:space="preserve">Sub-millisecond reads for price data and session tokens.</w:t>
            </w:r>
          </w:p>
        </w:tc>
      </w:tr>
      <w:tr>
        <w:tc>
          <w:tcPr>
            <w:tcW w:type="dxa" w:w="1800"/>
            <w:tcMar>
              <w:top w:type="dxa" w:w="80"/>
              <w:left w:type="dxa" w:w="100"/>
              <w:bottom w:type="dxa" w:w="80"/>
              <w:right w:type="dxa" w:w="100"/>
            </w:tcMar>
            <w:vAlign w:val="center"/>
          </w:tcPr>
          <w:p>
            <w:pPr>
              <w:spacing w:after="40"/>
            </w:pPr>
            <w:r>
              <w:rPr>
                <w:sz w:val="19"/>
                <w:szCs w:val="19"/>
              </w:rPr>
              <w:t xml:space="preserve">Message Queue</w:t>
            </w:r>
          </w:p>
        </w:tc>
        <w:tc>
          <w:tcPr>
            <w:tcW w:type="dxa" w:w="2700"/>
            <w:tcMar>
              <w:top w:type="dxa" w:w="80"/>
              <w:left w:type="dxa" w:w="100"/>
              <w:bottom w:type="dxa" w:w="80"/>
              <w:right w:type="dxa" w:w="100"/>
            </w:tcMar>
            <w:vAlign w:val="center"/>
          </w:tcPr>
          <w:p>
            <w:pPr>
              <w:spacing w:after="40"/>
            </w:pPr>
            <w:r>
              <w:rPr>
                <w:sz w:val="19"/>
                <w:szCs w:val="19"/>
              </w:rPr>
              <w:t xml:space="preserve">Managed queue (e.g. Amazon SQS or RabbitMQ)</w:t>
            </w:r>
          </w:p>
        </w:tc>
        <w:tc>
          <w:tcPr>
            <w:tcW w:type="dxa" w:w="4300"/>
            <w:tcMar>
              <w:top w:type="dxa" w:w="80"/>
              <w:left w:type="dxa" w:w="100"/>
              <w:bottom w:type="dxa" w:w="80"/>
              <w:right w:type="dxa" w:w="100"/>
            </w:tcMar>
            <w:vAlign w:val="center"/>
          </w:tcPr>
          <w:p>
            <w:pPr>
              <w:spacing w:after="40"/>
            </w:pPr>
            <w:r>
              <w:rPr>
                <w:sz w:val="19"/>
                <w:szCs w:val="19"/>
              </w:rPr>
              <w:t xml:space="preserve">Decouples order confirmation from notification dispatch with minimal operational overhead.</w:t>
            </w:r>
          </w:p>
        </w:tc>
      </w:tr>
      <w:tr>
        <w:tc>
          <w:tcPr>
            <w:tcW w:type="dxa" w:w="1800"/>
            <w:shd w:fill="F5F8F6" w:val="clear"/>
            <w:tcMar>
              <w:top w:type="dxa" w:w="80"/>
              <w:left w:type="dxa" w:w="100"/>
              <w:bottom w:type="dxa" w:w="80"/>
              <w:right w:type="dxa" w:w="100"/>
            </w:tcMar>
            <w:vAlign w:val="center"/>
          </w:tcPr>
          <w:p>
            <w:pPr>
              <w:spacing w:after="40"/>
            </w:pPr>
            <w:r>
              <w:rPr>
                <w:sz w:val="19"/>
                <w:szCs w:val="19"/>
              </w:rPr>
              <w:t xml:space="preserve">Object Storage / CDN</w:t>
            </w:r>
          </w:p>
        </w:tc>
        <w:tc>
          <w:tcPr>
            <w:tcW w:type="dxa" w:w="2700"/>
            <w:shd w:fill="F5F8F6" w:val="clear"/>
            <w:tcMar>
              <w:top w:type="dxa" w:w="80"/>
              <w:left w:type="dxa" w:w="100"/>
              <w:bottom w:type="dxa" w:w="80"/>
              <w:right w:type="dxa" w:w="100"/>
            </w:tcMar>
            <w:vAlign w:val="center"/>
          </w:tcPr>
          <w:p>
            <w:pPr>
              <w:spacing w:after="40"/>
            </w:pPr>
            <w:r>
              <w:rPr>
                <w:sz w:val="19"/>
                <w:szCs w:val="19"/>
              </w:rPr>
              <w:t xml:space="preserve">S3-compatible storage + CDN</w:t>
            </w:r>
          </w:p>
        </w:tc>
        <w:tc>
          <w:tcPr>
            <w:tcW w:type="dxa" w:w="4300"/>
            <w:shd w:fill="F5F8F6" w:val="clear"/>
            <w:tcMar>
              <w:top w:type="dxa" w:w="80"/>
              <w:left w:type="dxa" w:w="100"/>
              <w:bottom w:type="dxa" w:w="80"/>
              <w:right w:type="dxa" w:w="100"/>
            </w:tcMar>
            <w:vAlign w:val="center"/>
          </w:tcPr>
          <w:p>
            <w:pPr>
              <w:spacing w:after="40"/>
            </w:pPr>
            <w:r>
              <w:rPr>
                <w:sz w:val="19"/>
                <w:szCs w:val="19"/>
              </w:rPr>
              <w:t xml:space="preserve">Durable, inexpensive storage for images with low-latency edge delivery.</w:t>
            </w:r>
          </w:p>
        </w:tc>
      </w:tr>
      <w:tr>
        <w:tc>
          <w:tcPr>
            <w:tcW w:type="dxa" w:w="1800"/>
            <w:tcMar>
              <w:top w:type="dxa" w:w="80"/>
              <w:left w:type="dxa" w:w="100"/>
              <w:bottom w:type="dxa" w:w="80"/>
              <w:right w:type="dxa" w:w="100"/>
            </w:tcMar>
            <w:vAlign w:val="center"/>
          </w:tcPr>
          <w:p>
            <w:pPr>
              <w:spacing w:after="40"/>
            </w:pPr>
            <w:r>
              <w:rPr>
                <w:sz w:val="19"/>
                <w:szCs w:val="19"/>
              </w:rPr>
              <w:t xml:space="preserve">Hosting / Orchestration</w:t>
            </w:r>
          </w:p>
        </w:tc>
        <w:tc>
          <w:tcPr>
            <w:tcW w:type="dxa" w:w="2700"/>
            <w:tcMar>
              <w:top w:type="dxa" w:w="80"/>
              <w:left w:type="dxa" w:w="100"/>
              <w:bottom w:type="dxa" w:w="80"/>
              <w:right w:type="dxa" w:w="100"/>
            </w:tcMar>
            <w:vAlign w:val="center"/>
          </w:tcPr>
          <w:p>
            <w:pPr>
              <w:spacing w:after="40"/>
            </w:pPr>
            <w:r>
              <w:rPr>
                <w:sz w:val="19"/>
                <w:szCs w:val="19"/>
              </w:rPr>
              <w:t xml:space="preserve">Docker containers on a managed container service</w:t>
            </w:r>
          </w:p>
        </w:tc>
        <w:tc>
          <w:tcPr>
            <w:tcW w:type="dxa" w:w="4300"/>
            <w:tcMar>
              <w:top w:type="dxa" w:w="80"/>
              <w:left w:type="dxa" w:w="100"/>
              <w:bottom w:type="dxa" w:w="80"/>
              <w:right w:type="dxa" w:w="100"/>
            </w:tcMar>
            <w:vAlign w:val="center"/>
          </w:tcPr>
          <w:p>
            <w:pPr>
              <w:spacing w:after="40"/>
            </w:pPr>
            <w:r>
              <w:rPr>
                <w:sz w:val="19"/>
                <w:szCs w:val="19"/>
              </w:rPr>
              <w:t xml:space="preserve">Portability and autoscaling without a large dedicated operations team.</w:t>
            </w:r>
          </w:p>
        </w:tc>
      </w:tr>
      <w:tr>
        <w:tc>
          <w:tcPr>
            <w:tcW w:type="dxa" w:w="1800"/>
            <w:shd w:fill="F5F8F6" w:val="clear"/>
            <w:tcMar>
              <w:top w:type="dxa" w:w="80"/>
              <w:left w:type="dxa" w:w="100"/>
              <w:bottom w:type="dxa" w:w="80"/>
              <w:right w:type="dxa" w:w="100"/>
            </w:tcMar>
            <w:vAlign w:val="center"/>
          </w:tcPr>
          <w:p>
            <w:pPr>
              <w:spacing w:after="40"/>
            </w:pPr>
            <w:r>
              <w:rPr>
                <w:sz w:val="19"/>
                <w:szCs w:val="19"/>
              </w:rPr>
              <w:t xml:space="preserve">Monitoring</w:t>
            </w:r>
          </w:p>
        </w:tc>
        <w:tc>
          <w:tcPr>
            <w:tcW w:type="dxa" w:w="2700"/>
            <w:shd w:fill="F5F8F6" w:val="clear"/>
            <w:tcMar>
              <w:top w:type="dxa" w:w="80"/>
              <w:left w:type="dxa" w:w="100"/>
              <w:bottom w:type="dxa" w:w="80"/>
              <w:right w:type="dxa" w:w="100"/>
            </w:tcMar>
            <w:vAlign w:val="center"/>
          </w:tcPr>
          <w:p>
            <w:pPr>
              <w:spacing w:after="40"/>
            </w:pPr>
            <w:r>
              <w:rPr>
                <w:sz w:val="19"/>
                <w:szCs w:val="19"/>
              </w:rPr>
              <w:t xml:space="preserve">Centralized logging + metrics dashboard</w:t>
            </w:r>
          </w:p>
        </w:tc>
        <w:tc>
          <w:tcPr>
            <w:tcW w:type="dxa" w:w="4300"/>
            <w:shd w:fill="F5F8F6" w:val="clear"/>
            <w:tcMar>
              <w:top w:type="dxa" w:w="80"/>
              <w:left w:type="dxa" w:w="100"/>
              <w:bottom w:type="dxa" w:w="80"/>
              <w:right w:type="dxa" w:w="100"/>
            </w:tcMar>
            <w:vAlign w:val="center"/>
          </w:tcPr>
          <w:p>
            <w:pPr>
              <w:spacing w:after="40"/>
            </w:pPr>
            <w:r>
              <w:rPr>
                <w:sz w:val="19"/>
                <w:szCs w:val="19"/>
              </w:rPr>
              <w:t xml:space="preserve">Required to meet the 99.5% availability target (NFR-6) and to support fast incident response.</w:t>
            </w:r>
          </w:p>
        </w:tc>
      </w:tr>
    </w:tbl>
    <w:p>
      <w:pPr>
        <w:pStyle w:val="Heading1"/>
        <w:spacing w:after="180" w:before="360"/>
      </w:pPr>
      <w:r>
        <w:t xml:space="preserve">11. Non-Functional Requirements Traceability</w:t>
      </w:r>
    </w:p>
    <w:p>
      <w:pPr>
        <w:spacing w:after="160" w:line="300"/>
      </w:pPr>
      <w:r>
        <w:t xml:space="preserve">The table below maps each Week 1 non-functional requirement to the specific architectural decision that addresses it, confirming that every NFR has a concrete architectural response rather than being deferred to “later.”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4900"/>
      </w:tblGrid>
      <w:tr>
        <w:trPr>
          <w:tblHeader/>
        </w:trPr>
        <w:tc>
          <w:tcPr>
            <w:tcW w:type="dxa" w:w="1000"/>
            <w:shd w:fill="1F3A2D" w:val="clear"/>
            <w:tcMar>
              <w:top w:type="dxa" w:w="80"/>
              <w:left w:type="dxa" w:w="100"/>
              <w:bottom w:type="dxa" w:w="80"/>
              <w:right w:type="dxa" w:w="100"/>
            </w:tcMar>
            <w:vAlign w:val="center"/>
          </w:tcPr>
          <w:p>
            <w:pPr>
              <w:spacing w:after="40"/>
            </w:pPr>
            <w:r>
              <w:rPr>
                <w:b/>
                <w:bCs/>
                <w:color w:val="FFFFFF"/>
                <w:sz w:val="19"/>
                <w:szCs w:val="19"/>
              </w:rPr>
              <w:t xml:space="preserve">NFR ID</w:t>
            </w:r>
          </w:p>
        </w:tc>
        <w:tc>
          <w:tcPr>
            <w:tcW w:type="dxa" w:w="2900"/>
            <w:shd w:fill="1F3A2D" w:val="clear"/>
            <w:tcMar>
              <w:top w:type="dxa" w:w="80"/>
              <w:left w:type="dxa" w:w="100"/>
              <w:bottom w:type="dxa" w:w="80"/>
              <w:right w:type="dxa" w:w="100"/>
            </w:tcMar>
            <w:vAlign w:val="center"/>
          </w:tcPr>
          <w:p>
            <w:pPr>
              <w:spacing w:after="40"/>
            </w:pPr>
            <w:r>
              <w:rPr>
                <w:b/>
                <w:bCs/>
                <w:color w:val="FFFFFF"/>
                <w:sz w:val="19"/>
                <w:szCs w:val="19"/>
              </w:rPr>
              <w:t xml:space="preserve">Week 1 Requirement</w:t>
            </w:r>
          </w:p>
        </w:tc>
        <w:tc>
          <w:tcPr>
            <w:tcW w:type="dxa" w:w="4900"/>
            <w:shd w:fill="1F3A2D" w:val="clear"/>
            <w:tcMar>
              <w:top w:type="dxa" w:w="80"/>
              <w:left w:type="dxa" w:w="100"/>
              <w:bottom w:type="dxa" w:w="80"/>
              <w:right w:type="dxa" w:w="100"/>
            </w:tcMar>
            <w:vAlign w:val="center"/>
          </w:tcPr>
          <w:p>
            <w:pPr>
              <w:spacing w:after="40"/>
            </w:pPr>
            <w:r>
              <w:rPr>
                <w:b/>
                <w:bCs/>
                <w:color w:val="FFFFFF"/>
                <w:sz w:val="19"/>
                <w:szCs w:val="19"/>
              </w:rPr>
              <w:t xml:space="preserve">Architectural Response</w:t>
            </w:r>
          </w:p>
        </w:tc>
      </w:tr>
      <w:tr>
        <w:tc>
          <w:tcPr>
            <w:tcW w:type="dxa" w:w="1000"/>
            <w:tcMar>
              <w:top w:type="dxa" w:w="80"/>
              <w:left w:type="dxa" w:w="100"/>
              <w:bottom w:type="dxa" w:w="80"/>
              <w:right w:type="dxa" w:w="100"/>
            </w:tcMar>
            <w:vAlign w:val="center"/>
          </w:tcPr>
          <w:p>
            <w:pPr>
              <w:spacing w:after="40"/>
            </w:pPr>
            <w:r>
              <w:rPr>
                <w:sz w:val="19"/>
                <w:szCs w:val="19"/>
              </w:rPr>
              <w:t xml:space="preserve">NFR-1</w:t>
            </w:r>
          </w:p>
        </w:tc>
        <w:tc>
          <w:tcPr>
            <w:tcW w:type="dxa" w:w="2900"/>
            <w:tcMar>
              <w:top w:type="dxa" w:w="80"/>
              <w:left w:type="dxa" w:w="100"/>
              <w:bottom w:type="dxa" w:w="80"/>
              <w:right w:type="dxa" w:w="100"/>
            </w:tcMar>
            <w:vAlign w:val="center"/>
          </w:tcPr>
          <w:p>
            <w:pPr>
              <w:spacing w:after="40"/>
            </w:pPr>
            <w:r>
              <w:rPr>
                <w:sz w:val="19"/>
                <w:szCs w:val="19"/>
              </w:rPr>
              <w:t xml:space="preserve">Performance (3s load on 3G)</w:t>
            </w:r>
          </w:p>
        </w:tc>
        <w:tc>
          <w:tcPr>
            <w:tcW w:type="dxa" w:w="4900"/>
            <w:tcMar>
              <w:top w:type="dxa" w:w="80"/>
              <w:left w:type="dxa" w:w="100"/>
              <w:bottom w:type="dxa" w:w="80"/>
              <w:right w:type="dxa" w:w="100"/>
            </w:tcMar>
            <w:vAlign w:val="center"/>
          </w:tcPr>
          <w:p>
            <w:pPr>
              <w:spacing w:after="40"/>
            </w:pPr>
            <w:r>
              <w:rPr>
                <w:sz w:val="19"/>
                <w:szCs w:val="19"/>
              </w:rPr>
              <w:t xml:space="preserve">Redis caching of hot data, CDN for images, indexed read-replica queries</w:t>
            </w:r>
          </w:p>
        </w:tc>
      </w:tr>
      <w:tr>
        <w:tc>
          <w:tcPr>
            <w:tcW w:type="dxa" w:w="1000"/>
            <w:shd w:fill="F5F8F6" w:val="clear"/>
            <w:tcMar>
              <w:top w:type="dxa" w:w="80"/>
              <w:left w:type="dxa" w:w="100"/>
              <w:bottom w:type="dxa" w:w="80"/>
              <w:right w:type="dxa" w:w="100"/>
            </w:tcMar>
            <w:vAlign w:val="center"/>
          </w:tcPr>
          <w:p>
            <w:pPr>
              <w:spacing w:after="40"/>
            </w:pPr>
            <w:r>
              <w:rPr>
                <w:sz w:val="19"/>
                <w:szCs w:val="19"/>
              </w:rPr>
              <w:t xml:space="preserve">NFR-2</w:t>
            </w:r>
          </w:p>
        </w:tc>
        <w:tc>
          <w:tcPr>
            <w:tcW w:type="dxa" w:w="2900"/>
            <w:shd w:fill="F5F8F6" w:val="clear"/>
            <w:tcMar>
              <w:top w:type="dxa" w:w="80"/>
              <w:left w:type="dxa" w:w="100"/>
              <w:bottom w:type="dxa" w:w="80"/>
              <w:right w:type="dxa" w:w="100"/>
            </w:tcMar>
            <w:vAlign w:val="center"/>
          </w:tcPr>
          <w:p>
            <w:pPr>
              <w:spacing w:after="40"/>
            </w:pPr>
            <w:r>
              <w:rPr>
                <w:sz w:val="19"/>
                <w:szCs w:val="19"/>
              </w:rPr>
              <w:t xml:space="preserve">Scalability (50,000 concurrent users)</w:t>
            </w:r>
          </w:p>
        </w:tc>
        <w:tc>
          <w:tcPr>
            <w:tcW w:type="dxa" w:w="4900"/>
            <w:shd w:fill="F5F8F6" w:val="clear"/>
            <w:tcMar>
              <w:top w:type="dxa" w:w="80"/>
              <w:left w:type="dxa" w:w="100"/>
              <w:bottom w:type="dxa" w:w="80"/>
              <w:right w:type="dxa" w:w="100"/>
            </w:tcMar>
            <w:vAlign w:val="center"/>
          </w:tcPr>
          <w:p>
            <w:pPr>
              <w:spacing w:after="40"/>
            </w:pPr>
            <w:r>
              <w:rPr>
                <w:sz w:val="19"/>
                <w:szCs w:val="19"/>
              </w:rPr>
              <w:t xml:space="preserve">Stateless microservices behind autoscaling groups; horizontal pod autoscaling</w:t>
            </w:r>
          </w:p>
        </w:tc>
      </w:tr>
      <w:tr>
        <w:tc>
          <w:tcPr>
            <w:tcW w:type="dxa" w:w="1000"/>
            <w:tcMar>
              <w:top w:type="dxa" w:w="80"/>
              <w:left w:type="dxa" w:w="100"/>
              <w:bottom w:type="dxa" w:w="80"/>
              <w:right w:type="dxa" w:w="100"/>
            </w:tcMar>
            <w:vAlign w:val="center"/>
          </w:tcPr>
          <w:p>
            <w:pPr>
              <w:spacing w:after="40"/>
            </w:pPr>
            <w:r>
              <w:rPr>
                <w:sz w:val="19"/>
                <w:szCs w:val="19"/>
              </w:rPr>
              <w:t xml:space="preserve">NFR-3</w:t>
            </w:r>
          </w:p>
        </w:tc>
        <w:tc>
          <w:tcPr>
            <w:tcW w:type="dxa" w:w="2900"/>
            <w:tcMar>
              <w:top w:type="dxa" w:w="80"/>
              <w:left w:type="dxa" w:w="100"/>
              <w:bottom w:type="dxa" w:w="80"/>
              <w:right w:type="dxa" w:w="100"/>
            </w:tcMar>
            <w:vAlign w:val="center"/>
          </w:tcPr>
          <w:p>
            <w:pPr>
              <w:spacing w:after="40"/>
            </w:pPr>
            <w:r>
              <w:rPr>
                <w:sz w:val="19"/>
                <w:szCs w:val="19"/>
              </w:rPr>
              <w:t xml:space="preserve">Security (encryption)</w:t>
            </w:r>
          </w:p>
        </w:tc>
        <w:tc>
          <w:tcPr>
            <w:tcW w:type="dxa" w:w="4900"/>
            <w:tcMar>
              <w:top w:type="dxa" w:w="80"/>
              <w:left w:type="dxa" w:w="100"/>
              <w:bottom w:type="dxa" w:w="80"/>
              <w:right w:type="dxa" w:w="100"/>
            </w:tcMar>
            <w:vAlign w:val="center"/>
          </w:tcPr>
          <w:p>
            <w:pPr>
              <w:spacing w:after="40"/>
            </w:pPr>
            <w:r>
              <w:rPr>
                <w:sz w:val="19"/>
                <w:szCs w:val="19"/>
              </w:rPr>
              <w:t xml:space="preserve">TLS 1.2+ in transit; encryption at rest for database and object storage</w:t>
            </w:r>
          </w:p>
        </w:tc>
      </w:tr>
      <w:tr>
        <w:tc>
          <w:tcPr>
            <w:tcW w:type="dxa" w:w="1000"/>
            <w:shd w:fill="F5F8F6" w:val="clear"/>
            <w:tcMar>
              <w:top w:type="dxa" w:w="80"/>
              <w:left w:type="dxa" w:w="100"/>
              <w:bottom w:type="dxa" w:w="80"/>
              <w:right w:type="dxa" w:w="100"/>
            </w:tcMar>
            <w:vAlign w:val="center"/>
          </w:tcPr>
          <w:p>
            <w:pPr>
              <w:spacing w:after="40"/>
            </w:pPr>
            <w:r>
              <w:rPr>
                <w:sz w:val="19"/>
                <w:szCs w:val="19"/>
              </w:rPr>
              <w:t xml:space="preserve">NFR-4</w:t>
            </w:r>
          </w:p>
        </w:tc>
        <w:tc>
          <w:tcPr>
            <w:tcW w:type="dxa" w:w="2900"/>
            <w:shd w:fill="F5F8F6" w:val="clear"/>
            <w:tcMar>
              <w:top w:type="dxa" w:w="80"/>
              <w:left w:type="dxa" w:w="100"/>
              <w:bottom w:type="dxa" w:w="80"/>
              <w:right w:type="dxa" w:w="100"/>
            </w:tcMar>
            <w:vAlign w:val="center"/>
          </w:tcPr>
          <w:p>
            <w:pPr>
              <w:spacing w:after="40"/>
            </w:pPr>
            <w:r>
              <w:rPr>
                <w:sz w:val="19"/>
                <w:szCs w:val="19"/>
              </w:rPr>
              <w:t xml:space="preserve">Security (RBAC)</w:t>
            </w:r>
          </w:p>
        </w:tc>
        <w:tc>
          <w:tcPr>
            <w:tcW w:type="dxa" w:w="4900"/>
            <w:shd w:fill="F5F8F6" w:val="clear"/>
            <w:tcMar>
              <w:top w:type="dxa" w:w="80"/>
              <w:left w:type="dxa" w:w="100"/>
              <w:bottom w:type="dxa" w:w="80"/>
              <w:right w:type="dxa" w:w="100"/>
            </w:tcMar>
            <w:vAlign w:val="center"/>
          </w:tcPr>
          <w:p>
            <w:pPr>
              <w:spacing w:after="40"/>
            </w:pPr>
            <w:r>
              <w:rPr>
                <w:sz w:val="19"/>
                <w:szCs w:val="19"/>
              </w:rPr>
              <w:t xml:space="preserve">Role-based access enforced at the API Gateway and User &amp; Auth Service</w:t>
            </w:r>
          </w:p>
        </w:tc>
      </w:tr>
      <w:tr>
        <w:tc>
          <w:tcPr>
            <w:tcW w:type="dxa" w:w="1000"/>
            <w:tcMar>
              <w:top w:type="dxa" w:w="80"/>
              <w:left w:type="dxa" w:w="100"/>
              <w:bottom w:type="dxa" w:w="80"/>
              <w:right w:type="dxa" w:w="100"/>
            </w:tcMar>
            <w:vAlign w:val="center"/>
          </w:tcPr>
          <w:p>
            <w:pPr>
              <w:spacing w:after="40"/>
            </w:pPr>
            <w:r>
              <w:rPr>
                <w:sz w:val="19"/>
                <w:szCs w:val="19"/>
              </w:rPr>
              <w:t xml:space="preserve">NFR-5</w:t>
            </w:r>
          </w:p>
        </w:tc>
        <w:tc>
          <w:tcPr>
            <w:tcW w:type="dxa" w:w="2900"/>
            <w:tcMar>
              <w:top w:type="dxa" w:w="80"/>
              <w:left w:type="dxa" w:w="100"/>
              <w:bottom w:type="dxa" w:w="80"/>
              <w:right w:type="dxa" w:w="100"/>
            </w:tcMar>
            <w:vAlign w:val="center"/>
          </w:tcPr>
          <w:p>
            <w:pPr>
              <w:spacing w:after="40"/>
            </w:pPr>
            <w:r>
              <w:rPr>
                <w:sz w:val="19"/>
                <w:szCs w:val="19"/>
              </w:rPr>
              <w:t xml:space="preserve">Usability (low-literacy support)</w:t>
            </w:r>
          </w:p>
        </w:tc>
        <w:tc>
          <w:tcPr>
            <w:tcW w:type="dxa" w:w="4900"/>
            <w:tcMar>
              <w:top w:type="dxa" w:w="80"/>
              <w:left w:type="dxa" w:w="100"/>
              <w:bottom w:type="dxa" w:w="80"/>
              <w:right w:type="dxa" w:w="100"/>
            </w:tcMar>
            <w:vAlign w:val="center"/>
          </w:tcPr>
          <w:p>
            <w:pPr>
              <w:spacing w:after="40"/>
            </w:pPr>
            <w:r>
              <w:rPr>
                <w:sz w:val="19"/>
                <w:szCs w:val="19"/>
              </w:rPr>
              <w:t xml:space="preserve">Lightweight mobile client with offline cache; icon-driven navigation at the client layer</w:t>
            </w:r>
          </w:p>
        </w:tc>
      </w:tr>
      <w:tr>
        <w:tc>
          <w:tcPr>
            <w:tcW w:type="dxa" w:w="1000"/>
            <w:shd w:fill="F5F8F6" w:val="clear"/>
            <w:tcMar>
              <w:top w:type="dxa" w:w="80"/>
              <w:left w:type="dxa" w:w="100"/>
              <w:bottom w:type="dxa" w:w="80"/>
              <w:right w:type="dxa" w:w="100"/>
            </w:tcMar>
            <w:vAlign w:val="center"/>
          </w:tcPr>
          <w:p>
            <w:pPr>
              <w:spacing w:after="40"/>
            </w:pPr>
            <w:r>
              <w:rPr>
                <w:sz w:val="19"/>
                <w:szCs w:val="19"/>
              </w:rPr>
              <w:t xml:space="preserve">NFR-6</w:t>
            </w:r>
          </w:p>
        </w:tc>
        <w:tc>
          <w:tcPr>
            <w:tcW w:type="dxa" w:w="2900"/>
            <w:shd w:fill="F5F8F6" w:val="clear"/>
            <w:tcMar>
              <w:top w:type="dxa" w:w="80"/>
              <w:left w:type="dxa" w:w="100"/>
              <w:bottom w:type="dxa" w:w="80"/>
              <w:right w:type="dxa" w:w="100"/>
            </w:tcMar>
            <w:vAlign w:val="center"/>
          </w:tcPr>
          <w:p>
            <w:pPr>
              <w:spacing w:after="40"/>
            </w:pPr>
            <w:r>
              <w:rPr>
                <w:sz w:val="19"/>
                <w:szCs w:val="19"/>
              </w:rPr>
              <w:t xml:space="preserve">Availability (99.5% uptime)</w:t>
            </w:r>
          </w:p>
        </w:tc>
        <w:tc>
          <w:tcPr>
            <w:tcW w:type="dxa" w:w="4900"/>
            <w:shd w:fill="F5F8F6" w:val="clear"/>
            <w:tcMar>
              <w:top w:type="dxa" w:w="80"/>
              <w:left w:type="dxa" w:w="100"/>
              <w:bottom w:type="dxa" w:w="80"/>
              <w:right w:type="dxa" w:w="100"/>
            </w:tcMar>
            <w:vAlign w:val="center"/>
          </w:tcPr>
          <w:p>
            <w:pPr>
              <w:spacing w:after="40"/>
            </w:pPr>
            <w:r>
              <w:rPr>
                <w:sz w:val="19"/>
                <w:szCs w:val="19"/>
              </w:rPr>
              <w:t xml:space="preserve">Multi-replica deployment behind a load balancer; automated backups and PITR</w:t>
            </w:r>
          </w:p>
        </w:tc>
      </w:tr>
      <w:tr>
        <w:tc>
          <w:tcPr>
            <w:tcW w:type="dxa" w:w="1000"/>
            <w:tcMar>
              <w:top w:type="dxa" w:w="80"/>
              <w:left w:type="dxa" w:w="100"/>
              <w:bottom w:type="dxa" w:w="80"/>
              <w:right w:type="dxa" w:w="100"/>
            </w:tcMar>
            <w:vAlign w:val="center"/>
          </w:tcPr>
          <w:p>
            <w:pPr>
              <w:spacing w:after="40"/>
            </w:pPr>
            <w:r>
              <w:rPr>
                <w:sz w:val="19"/>
                <w:szCs w:val="19"/>
              </w:rPr>
              <w:t xml:space="preserve">NFR-7</w:t>
            </w:r>
          </w:p>
        </w:tc>
        <w:tc>
          <w:tcPr>
            <w:tcW w:type="dxa" w:w="2900"/>
            <w:tcMar>
              <w:top w:type="dxa" w:w="80"/>
              <w:left w:type="dxa" w:w="100"/>
              <w:bottom w:type="dxa" w:w="80"/>
              <w:right w:type="dxa" w:w="100"/>
            </w:tcMar>
            <w:vAlign w:val="center"/>
          </w:tcPr>
          <w:p>
            <w:pPr>
              <w:spacing w:after="40"/>
            </w:pPr>
            <w:r>
              <w:rPr>
                <w:sz w:val="19"/>
                <w:szCs w:val="19"/>
              </w:rPr>
              <w:t xml:space="preserve">Localization (3+ languages)</w:t>
            </w:r>
          </w:p>
        </w:tc>
        <w:tc>
          <w:tcPr>
            <w:tcW w:type="dxa" w:w="4900"/>
            <w:tcMar>
              <w:top w:type="dxa" w:w="80"/>
              <w:left w:type="dxa" w:w="100"/>
              <w:bottom w:type="dxa" w:w="80"/>
              <w:right w:type="dxa" w:w="100"/>
            </w:tcMar>
            <w:vAlign w:val="center"/>
          </w:tcPr>
          <w:p>
            <w:pPr>
              <w:spacing w:after="40"/>
            </w:pPr>
            <w:r>
              <w:rPr>
                <w:sz w:val="19"/>
                <w:szCs w:val="19"/>
              </w:rPr>
              <w:t xml:space="preserve">Client-side i18n; localized message templates in the Notification Service</w:t>
            </w:r>
          </w:p>
        </w:tc>
      </w:tr>
      <w:tr>
        <w:tc>
          <w:tcPr>
            <w:tcW w:type="dxa" w:w="1000"/>
            <w:shd w:fill="F5F8F6" w:val="clear"/>
            <w:tcMar>
              <w:top w:type="dxa" w:w="80"/>
              <w:left w:type="dxa" w:w="100"/>
              <w:bottom w:type="dxa" w:w="80"/>
              <w:right w:type="dxa" w:w="100"/>
            </w:tcMar>
            <w:vAlign w:val="center"/>
          </w:tcPr>
          <w:p>
            <w:pPr>
              <w:spacing w:after="40"/>
            </w:pPr>
            <w:r>
              <w:rPr>
                <w:sz w:val="19"/>
                <w:szCs w:val="19"/>
              </w:rPr>
              <w:t xml:space="preserve">NFR-8</w:t>
            </w:r>
          </w:p>
        </w:tc>
        <w:tc>
          <w:tcPr>
            <w:tcW w:type="dxa" w:w="2900"/>
            <w:shd w:fill="F5F8F6" w:val="clear"/>
            <w:tcMar>
              <w:top w:type="dxa" w:w="80"/>
              <w:left w:type="dxa" w:w="100"/>
              <w:bottom w:type="dxa" w:w="80"/>
              <w:right w:type="dxa" w:w="100"/>
            </w:tcMar>
            <w:vAlign w:val="center"/>
          </w:tcPr>
          <w:p>
            <w:pPr>
              <w:spacing w:after="40"/>
            </w:pPr>
            <w:r>
              <w:rPr>
                <w:sz w:val="19"/>
                <w:szCs w:val="19"/>
              </w:rPr>
              <w:t xml:space="preserve">Compliance (data protection)</w:t>
            </w:r>
          </w:p>
        </w:tc>
        <w:tc>
          <w:tcPr>
            <w:tcW w:type="dxa" w:w="4900"/>
            <w:shd w:fill="F5F8F6" w:val="clear"/>
            <w:tcMar>
              <w:top w:type="dxa" w:w="80"/>
              <w:left w:type="dxa" w:w="100"/>
              <w:bottom w:type="dxa" w:w="80"/>
              <w:right w:type="dxa" w:w="100"/>
            </w:tcMar>
            <w:vAlign w:val="center"/>
          </w:tcPr>
          <w:p>
            <w:pPr>
              <w:spacing w:after="40"/>
            </w:pPr>
            <w:r>
              <w:rPr>
                <w:sz w:val="19"/>
                <w:szCs w:val="19"/>
              </w:rPr>
              <w:t xml:space="preserve">Encryption, access control, and audit logging by design; payment tokenization</w:t>
            </w:r>
          </w:p>
        </w:tc>
      </w:tr>
      <w:tr>
        <w:tc>
          <w:tcPr>
            <w:tcW w:type="dxa" w:w="1000"/>
            <w:tcMar>
              <w:top w:type="dxa" w:w="80"/>
              <w:left w:type="dxa" w:w="100"/>
              <w:bottom w:type="dxa" w:w="80"/>
              <w:right w:type="dxa" w:w="100"/>
            </w:tcMar>
            <w:vAlign w:val="center"/>
          </w:tcPr>
          <w:p>
            <w:pPr>
              <w:spacing w:after="40"/>
            </w:pPr>
            <w:r>
              <w:rPr>
                <w:sz w:val="19"/>
                <w:szCs w:val="19"/>
              </w:rPr>
              <w:t xml:space="preserve">NFR-9</w:t>
            </w:r>
          </w:p>
        </w:tc>
        <w:tc>
          <w:tcPr>
            <w:tcW w:type="dxa" w:w="2900"/>
            <w:tcMar>
              <w:top w:type="dxa" w:w="80"/>
              <w:left w:type="dxa" w:w="100"/>
              <w:bottom w:type="dxa" w:w="80"/>
              <w:right w:type="dxa" w:w="100"/>
            </w:tcMar>
            <w:vAlign w:val="center"/>
          </w:tcPr>
          <w:p>
            <w:pPr>
              <w:spacing w:after="40"/>
            </w:pPr>
            <w:r>
              <w:rPr>
                <w:sz w:val="19"/>
                <w:szCs w:val="19"/>
              </w:rPr>
              <w:t xml:space="preserve">Maintainability</w:t>
            </w:r>
          </w:p>
        </w:tc>
        <w:tc>
          <w:tcPr>
            <w:tcW w:type="dxa" w:w="4900"/>
            <w:tcMar>
              <w:top w:type="dxa" w:w="80"/>
              <w:left w:type="dxa" w:w="100"/>
              <w:bottom w:type="dxa" w:w="80"/>
              <w:right w:type="dxa" w:w="100"/>
            </w:tcMar>
            <w:vAlign w:val="center"/>
          </w:tcPr>
          <w:p>
            <w:pPr>
              <w:spacing w:after="40"/>
            </w:pPr>
            <w:r>
              <w:rPr>
                <w:sz w:val="19"/>
                <w:szCs w:val="19"/>
              </w:rPr>
              <w:t xml:space="preserve">Independently deployable microservices aligned to business modules; versioned APIs</w:t>
            </w:r>
          </w:p>
        </w:tc>
      </w:tr>
      <w:tr>
        <w:tc>
          <w:tcPr>
            <w:tcW w:type="dxa" w:w="1000"/>
            <w:shd w:fill="F5F8F6" w:val="clear"/>
            <w:tcMar>
              <w:top w:type="dxa" w:w="80"/>
              <w:left w:type="dxa" w:w="100"/>
              <w:bottom w:type="dxa" w:w="80"/>
              <w:right w:type="dxa" w:w="100"/>
            </w:tcMar>
            <w:vAlign w:val="center"/>
          </w:tcPr>
          <w:p>
            <w:pPr>
              <w:spacing w:after="40"/>
            </w:pPr>
            <w:r>
              <w:rPr>
                <w:sz w:val="19"/>
                <w:szCs w:val="19"/>
              </w:rPr>
              <w:t xml:space="preserve">NFR-10</w:t>
            </w:r>
          </w:p>
        </w:tc>
        <w:tc>
          <w:tcPr>
            <w:tcW w:type="dxa" w:w="2900"/>
            <w:shd w:fill="F5F8F6" w:val="clear"/>
            <w:tcMar>
              <w:top w:type="dxa" w:w="80"/>
              <w:left w:type="dxa" w:w="100"/>
              <w:bottom w:type="dxa" w:w="80"/>
              <w:right w:type="dxa" w:w="100"/>
            </w:tcMar>
            <w:vAlign w:val="center"/>
          </w:tcPr>
          <w:p>
            <w:pPr>
              <w:spacing w:after="40"/>
            </w:pPr>
            <w:r>
              <w:rPr>
                <w:sz w:val="19"/>
                <w:szCs w:val="19"/>
              </w:rPr>
              <w:t xml:space="preserve">Interoperability</w:t>
            </w:r>
          </w:p>
        </w:tc>
        <w:tc>
          <w:tcPr>
            <w:tcW w:type="dxa" w:w="4900"/>
            <w:shd w:fill="F5F8F6" w:val="clear"/>
            <w:tcMar>
              <w:top w:type="dxa" w:w="80"/>
              <w:left w:type="dxa" w:w="100"/>
              <w:bottom w:type="dxa" w:w="80"/>
              <w:right w:type="dxa" w:w="100"/>
            </w:tcMar>
            <w:vAlign w:val="center"/>
          </w:tcPr>
          <w:p>
            <w:pPr>
              <w:spacing w:after="40"/>
            </w:pPr>
            <w:r>
              <w:rPr>
                <w:sz w:val="19"/>
                <w:szCs w:val="19"/>
              </w:rPr>
              <w:t xml:space="preserve">API Gateway plus dedicated adapters for each external system</w:t>
            </w:r>
          </w:p>
        </w:tc>
      </w:tr>
      <w:tr>
        <w:tc>
          <w:tcPr>
            <w:tcW w:type="dxa" w:w="1000"/>
            <w:tcMar>
              <w:top w:type="dxa" w:w="80"/>
              <w:left w:type="dxa" w:w="100"/>
              <w:bottom w:type="dxa" w:w="80"/>
              <w:right w:type="dxa" w:w="100"/>
            </w:tcMar>
            <w:vAlign w:val="center"/>
          </w:tcPr>
          <w:p>
            <w:pPr>
              <w:spacing w:after="40"/>
            </w:pPr>
            <w:r>
              <w:rPr>
                <w:sz w:val="19"/>
                <w:szCs w:val="19"/>
              </w:rPr>
              <w:t xml:space="preserve">NFR-11</w:t>
            </w:r>
          </w:p>
        </w:tc>
        <w:tc>
          <w:tcPr>
            <w:tcW w:type="dxa" w:w="2900"/>
            <w:tcMar>
              <w:top w:type="dxa" w:w="80"/>
              <w:left w:type="dxa" w:w="100"/>
              <w:bottom w:type="dxa" w:w="80"/>
              <w:right w:type="dxa" w:w="100"/>
            </w:tcMar>
            <w:vAlign w:val="center"/>
          </w:tcPr>
          <w:p>
            <w:pPr>
              <w:spacing w:after="40"/>
            </w:pPr>
            <w:r>
              <w:rPr>
                <w:sz w:val="19"/>
                <w:szCs w:val="19"/>
              </w:rPr>
              <w:t xml:space="preserve">Offline Tolerance</w:t>
            </w:r>
          </w:p>
        </w:tc>
        <w:tc>
          <w:tcPr>
            <w:tcW w:type="dxa" w:w="4900"/>
            <w:tcMar>
              <w:top w:type="dxa" w:w="80"/>
              <w:left w:type="dxa" w:w="100"/>
              <w:bottom w:type="dxa" w:w="80"/>
              <w:right w:type="dxa" w:w="100"/>
            </w:tcMar>
            <w:vAlign w:val="center"/>
          </w:tcPr>
          <w:p>
            <w:pPr>
              <w:spacing w:after="40"/>
            </w:pPr>
            <w:r>
              <w:rPr>
                <w:sz w:val="19"/>
                <w:szCs w:val="19"/>
              </w:rPr>
              <w:t xml:space="preserve">Cacheable, versioned GET endpoints support client-side offline caching</w:t>
            </w:r>
          </w:p>
        </w:tc>
      </w:tr>
      <w:tr>
        <w:tc>
          <w:tcPr>
            <w:tcW w:type="dxa" w:w="1000"/>
            <w:shd w:fill="F5F8F6" w:val="clear"/>
            <w:tcMar>
              <w:top w:type="dxa" w:w="80"/>
              <w:left w:type="dxa" w:w="100"/>
              <w:bottom w:type="dxa" w:w="80"/>
              <w:right w:type="dxa" w:w="100"/>
            </w:tcMar>
            <w:vAlign w:val="center"/>
          </w:tcPr>
          <w:p>
            <w:pPr>
              <w:spacing w:after="40"/>
            </w:pPr>
            <w:r>
              <w:rPr>
                <w:sz w:val="19"/>
                <w:szCs w:val="19"/>
              </w:rPr>
              <w:t xml:space="preserve">NFR-12</w:t>
            </w:r>
          </w:p>
        </w:tc>
        <w:tc>
          <w:tcPr>
            <w:tcW w:type="dxa" w:w="2900"/>
            <w:shd w:fill="F5F8F6" w:val="clear"/>
            <w:tcMar>
              <w:top w:type="dxa" w:w="80"/>
              <w:left w:type="dxa" w:w="100"/>
              <w:bottom w:type="dxa" w:w="80"/>
              <w:right w:type="dxa" w:w="100"/>
            </w:tcMar>
            <w:vAlign w:val="center"/>
          </w:tcPr>
          <w:p>
            <w:pPr>
              <w:spacing w:after="40"/>
            </w:pPr>
            <w:r>
              <w:rPr>
                <w:sz w:val="19"/>
                <w:szCs w:val="19"/>
              </w:rPr>
              <w:t xml:space="preserve">Accessibility</w:t>
            </w:r>
          </w:p>
        </w:tc>
        <w:tc>
          <w:tcPr>
            <w:tcW w:type="dxa" w:w="4900"/>
            <w:shd w:fill="F5F8F6" w:val="clear"/>
            <w:tcMar>
              <w:top w:type="dxa" w:w="80"/>
              <w:left w:type="dxa" w:w="100"/>
              <w:bottom w:type="dxa" w:w="80"/>
              <w:right w:type="dxa" w:w="100"/>
            </w:tcMar>
            <w:vAlign w:val="center"/>
          </w:tcPr>
          <w:p>
            <w:pPr>
              <w:spacing w:after="40"/>
            </w:pPr>
            <w:r>
              <w:rPr>
                <w:sz w:val="19"/>
                <w:szCs w:val="19"/>
              </w:rPr>
              <w:t xml:space="preserve">Addressed at the client UI layer; backend returns structured, screen-reader-friendly data</w:t>
            </w:r>
          </w:p>
        </w:tc>
      </w:tr>
    </w:tbl>
    <w:p>
      <w:pPr>
        <w:pStyle w:val="Heading1"/>
        <w:spacing w:after="180" w:before="360"/>
      </w:pPr>
      <w:r>
        <w:t xml:space="preserve">12. Assumptions, Constraints &amp; Limitations</w:t>
      </w:r>
    </w:p>
    <w:p>
      <w:pPr>
        <w:pStyle w:val="Heading2"/>
        <w:spacing w:after="140" w:before="260"/>
      </w:pPr>
      <w:r>
        <w:t xml:space="preserve">12.1 Assumptions</w:t>
      </w:r>
    </w:p>
    <w:p>
      <w:pPr>
        <w:pStyle w:val="ListParagraph"/>
        <w:numPr>
          <w:ilvl w:val="0"/>
          <w:numId w:val="2"/>
        </w:numPr>
        <w:spacing w:after="90" w:line="280"/>
      </w:pPr>
      <w:r>
        <w:t xml:space="preserve">A managed cloud provider is available and budgeted for hosting the application, data, and messaging tiers.</w:t>
      </w:r>
    </w:p>
    <w:p>
      <w:pPr>
        <w:pStyle w:val="ListParagraph"/>
        <w:numPr>
          <w:ilvl w:val="0"/>
          <w:numId w:val="2"/>
        </w:numPr>
        <w:spacing w:after="90" w:line="280"/>
      </w:pPr>
      <w:r>
        <w:t xml:space="preserve">Third-party systems (payment gateway, government mandi API, weather API, SMS/push gateway) expose REST/JSON interfaces with documented rate limits.</w:t>
      </w:r>
    </w:p>
    <w:p>
      <w:pPr>
        <w:pStyle w:val="ListParagraph"/>
        <w:numPr>
          <w:ilvl w:val="0"/>
          <w:numId w:val="2"/>
        </w:numPr>
        <w:spacing w:after="90" w:line="280"/>
      </w:pPr>
      <w:r>
        <w:t xml:space="preserve">Initial user base and transaction volume fit within a single-region deployment; multi-region is not required at launch.</w:t>
      </w:r>
    </w:p>
    <w:p>
      <w:pPr>
        <w:pStyle w:val="Heading2"/>
        <w:spacing w:after="140" w:before="260"/>
      </w:pPr>
      <w:r>
        <w:t xml:space="preserve">12.2 Constraints</w:t>
      </w:r>
    </w:p>
    <w:p>
      <w:pPr>
        <w:pStyle w:val="ListParagraph"/>
        <w:numPr>
          <w:ilvl w:val="0"/>
          <w:numId w:val="2"/>
        </w:numPr>
        <w:spacing w:after="90" w:line="280"/>
      </w:pPr>
      <w:r>
        <w:t xml:space="preserve">The architecture must remain operable by a small engineering team, favouring managed services over self-hosted infrastructure wherever possible.</w:t>
      </w:r>
    </w:p>
    <w:p>
      <w:pPr>
        <w:pStyle w:val="ListParagraph"/>
        <w:numPr>
          <w:ilvl w:val="0"/>
          <w:numId w:val="2"/>
        </w:numPr>
        <w:spacing w:after="90" w:line="280"/>
      </w:pPr>
      <w:r>
        <w:t xml:space="preserve">Budget favours pay-as-you-go managed services over large upfront infrastructure investment.</w:t>
      </w:r>
    </w:p>
    <w:p>
      <w:pPr>
        <w:pStyle w:val="ListParagraph"/>
        <w:numPr>
          <w:ilvl w:val="0"/>
          <w:numId w:val="2"/>
        </w:numPr>
        <w:spacing w:after="90" w:line="280"/>
      </w:pPr>
      <w:r>
        <w:t xml:space="preserve">The five-week internship timeline limits this document to logical and deployment architecture; detailed schema DDL and infrastructure-as-code scripts are deferred to Week 3 and Week 4.</w:t>
      </w:r>
    </w:p>
    <w:p>
      <w:pPr>
        <w:pStyle w:val="Heading2"/>
        <w:spacing w:after="140" w:before="260"/>
      </w:pPr>
      <w:r>
        <w:t xml:space="preserve">12.3 Limitations &amp; Future Considerations</w:t>
      </w:r>
    </w:p>
    <w:p>
      <w:pPr>
        <w:pStyle w:val="ListParagraph"/>
        <w:numPr>
          <w:ilvl w:val="0"/>
          <w:numId w:val="2"/>
        </w:numPr>
        <w:spacing w:after="90" w:line="280"/>
      </w:pPr>
      <w:r>
        <w:t xml:space="preserve">The current design assumes a single-region deployment; a future multi-region active-active setup would improve disaster recovery but is not justified at current scale.</w:t>
      </w:r>
    </w:p>
    <w:p>
      <w:pPr>
        <w:pStyle w:val="ListParagraph"/>
        <w:numPr>
          <w:ilvl w:val="0"/>
          <w:numId w:val="2"/>
        </w:numPr>
        <w:spacing w:after="90" w:line="280"/>
      </w:pPr>
      <w:r>
        <w:t xml:space="preserve">Machine-learning-based price prediction and demand forecasting are noted as a future extension to the Analytics &amp; Reporting Service, outside this phase's scope.</w:t>
      </w:r>
    </w:p>
    <w:p>
      <w:pPr>
        <w:pStyle w:val="ListParagraph"/>
        <w:numPr>
          <w:ilvl w:val="0"/>
          <w:numId w:val="2"/>
        </w:numPr>
        <w:spacing w:after="90" w:line="280"/>
      </w:pPr>
      <w:r>
        <w:t xml:space="preserve">Event sourcing / CQRS was considered but deferred in favour of a simpler request/response model with a single event bus, appropriate for the platform's current scale.</w:t>
      </w:r>
    </w:p>
    <w:p>
      <w:pPr>
        <w:pStyle w:val="Heading1"/>
        <w:spacing w:after="180" w:before="360"/>
      </w:pPr>
      <w:r>
        <w:t xml:space="preserve">13. Conclusion</w:t>
      </w:r>
    </w:p>
    <w:p>
      <w:pPr>
        <w:spacing w:after="160" w:line="300"/>
      </w:pPr>
      <w:r>
        <w:t xml:space="preserve">This report has translated the twenty-seven functional and twelve non-functional requirements from Week 1 into a concrete, layered microservices architecture for AgriConnect. Six services — User &amp; Auth, Crop Listing &amp; Inventory, Market Price Engine, Order &amp; Logistics, Notification, and Analytics &amp; Reporting — sit behind a single API Gateway, backed by a relational database, a cache, object storage, and a message queue that decouples slow external dependencies from the main request path.</w:t>
      </w:r>
    </w:p>
    <w:p>
      <w:pPr>
        <w:spacing w:after="160" w:line="300"/>
      </w:pPr>
      <w:r>
        <w:t xml:space="preserve">A representative sequence diagram traced the highest-priority order-placement flow end-to-end, a deployment view described how the system is hosted and scaled, and a traceability check confirmed that every Week 1 non-functional requirement has a specific architectural response. This provides a defensible, implementable basis for the Week 3 Module Development task, in which the “Must” priority components identified in Week 1 – chiefly User &amp; Auth, Crop Listing, and Order &amp; Logistics – will be built out first.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6"/>
        <w:szCs w:val="16"/>
      </w:rPr>
      <w:t xml:space="preserve">AgriConnect – System Architecture and Design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4F" w:sz="6" w:space="4"/>
      </w:pBdr>
      <w:spacing w:after="180" w:before="360"/>
    </w:pPr>
    <w:rPr>
      <w:rFonts w:ascii="Calibri" w:cs="Calibri" w:eastAsia="Calibri" w:hAnsi="Calibri"/>
      <w:b/>
      <w:bCs/>
      <w:color w:val="1F3A2D"/>
      <w:sz w:val="30"/>
      <w:szCs w:val="30"/>
    </w:rPr>
  </w:style>
  <w:style w:type="paragraph" w:styleId="Heading2">
    <w:name w:val="Heading 2"/>
    <w:basedOn w:val="Normal"/>
    <w:next w:val="Normal"/>
    <w:qFormat/>
    <w:pPr>
      <w:spacing w:after="140" w:before="260"/>
    </w:pPr>
    <w:rPr>
      <w:rFonts w:ascii="Calibri" w:cs="Calibri" w:eastAsia="Calibri" w:hAnsi="Calibri"/>
      <w:b/>
      <w:bCs/>
      <w:color w:val="2E7D4F"/>
      <w:sz w:val="25"/>
      <w:szCs w:val="25"/>
    </w:rPr>
  </w:style>
  <w:style w:type="paragraph" w:styleId="Heading3">
    <w:name w:val="Heading 3"/>
    <w:basedOn w:val="Normal"/>
    <w:next w:val="Normal"/>
    <w:qFormat/>
    <w:pPr>
      <w:spacing w:after="100" w:before="200"/>
    </w:pPr>
    <w:rPr>
      <w:rFonts w:ascii="Calibri" w:cs="Calibri" w:eastAsia="Calibri" w:hAnsi="Calibri"/>
      <w:b/>
      <w:bCs/>
      <w:color w:val="C98A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7438591c2ef5cc09868e716725f4a0abc62f95.png"/><Relationship Id="rId10" Type="http://schemas.openxmlformats.org/officeDocument/2006/relationships/image" Target="media/592b209c8d999112f8a0c14d8e30fa0becaf4747.png"/><Relationship Id="rId11" Type="http://schemas.openxmlformats.org/officeDocument/2006/relationships/image" Target="media/0eef919630a143d9de9f219b9511f112cc6ece2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2026-09-17T09:55:20.495Z</dcterms:created>
  <dcterms:modified xsi:type="dcterms:W3CDTF">2026-09-17T09:55:20.504Z</dcterms:modified>
</cp:coreProperties>
</file>

<file path=docProps/custom.xml><?xml version="1.0" encoding="utf-8"?>
<Properties xmlns="http://schemas.openxmlformats.org/officeDocument/2006/custom-properties" xmlns:vt="http://schemas.openxmlformats.org/officeDocument/2006/docPropsVTypes"/>
</file>