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b/>
          <w:bCs/>
          <w:color w:val="1F3A5F"/>
          <w:sz w:val="52"/>
          <w:szCs w:val="52"/>
        </w:rPr>
        <w:t xml:space="preserve">Market Analysis and Product Vision</w:t>
      </w:r>
    </w:p>
    <w:p>
      <w:pPr>
        <w:spacing w:after="400"/>
      </w:pPr>
      <w:r>
        <w:rPr>
          <w:color w:val="555555"/>
          <w:sz w:val="30"/>
          <w:szCs w:val="30"/>
        </w:rPr>
        <w:t xml:space="preserve">A strategic study of the Indian e-commerce market</w:t>
      </w:r>
    </w:p>
    <w:p>
      <w:pPr>
        <w:pBdr>
          <w:top w:val="single" w:color="1F3A5F" w:sz="12" w:space="8"/>
        </w:pBdr>
        <w:spacing w:after="80" w:before="200"/>
      </w:pPr>
      <w:r>
        <w:rPr>
          <w:sz w:val="24"/>
          <w:szCs w:val="24"/>
        </w:rPr>
        <w:t xml:space="preserve">Product Management Internship Project</w:t>
      </w:r>
    </w:p>
    <w:p>
      <w:pPr>
        <w:spacing w:after="80"/>
      </w:pPr>
      <w:r>
        <w:rPr>
          <w:sz w:val="24"/>
          <w:szCs w:val="24"/>
        </w:rPr>
        <w:t xml:space="preserve">Prepared by: [Your Name]</w:t>
      </w:r>
    </w:p>
    <w:p>
      <w:pPr>
        <w:spacing w:after="80"/>
      </w:pPr>
      <w:r>
        <w:rPr>
          <w:sz w:val="24"/>
          <w:szCs w:val="24"/>
        </w:rPr>
        <w:t xml:space="preserve">Date: October 2026</w:t>
      </w:r>
    </w:p>
    <w:p>
      <w:r>
        <w:br w:type="page"/>
      </w:r>
    </w:p>
    <w:p>
      <w:pPr>
        <w:pStyle w:val="Heading1"/>
      </w:pPr>
      <w:r>
        <w:t xml:space="preserve">Contents</w:t>
      </w:r>
    </w:p>
    <w:p>
      <w:pPr>
        <w:spacing w:after="120" w:line="276"/>
      </w:pPr>
      <w:r>
        <w:rPr>
          <w:sz w:val="22"/>
          <w:szCs w:val="22"/>
        </w:rPr>
        <w:t xml:space="preserve">1. Executive Summary</w:t>
      </w:r>
    </w:p>
    <w:p>
      <w:pPr>
        <w:spacing w:after="120" w:line="276"/>
      </w:pPr>
      <w:r>
        <w:rPr>
          <w:sz w:val="22"/>
          <w:szCs w:val="22"/>
        </w:rPr>
        <w:t xml:space="preserve">2. Introduction</w:t>
      </w:r>
    </w:p>
    <w:p>
      <w:pPr>
        <w:spacing w:after="120" w:line="276"/>
      </w:pPr>
      <w:r>
        <w:rPr>
          <w:sz w:val="22"/>
          <w:szCs w:val="22"/>
        </w:rPr>
        <w:t xml:space="preserve">3. Methodology</w:t>
      </w:r>
    </w:p>
    <w:p>
      <w:pPr>
        <w:spacing w:after="120" w:line="276"/>
      </w:pPr>
      <w:r>
        <w:rPr>
          <w:sz w:val="22"/>
          <w:szCs w:val="22"/>
        </w:rPr>
        <w:t xml:space="preserve">4. Market Analysis</w:t>
      </w:r>
    </w:p>
    <w:p>
      <w:pPr>
        <w:spacing w:after="120" w:line="276"/>
      </w:pPr>
      <w:r>
        <w:rPr>
          <w:sz w:val="22"/>
          <w:szCs w:val="22"/>
        </w:rPr>
        <w:t xml:space="preserve">    4.1 Market size and growth</w:t>
      </w:r>
    </w:p>
    <w:p>
      <w:pPr>
        <w:spacing w:after="120" w:line="276"/>
      </w:pPr>
      <w:r>
        <w:rPr>
          <w:sz w:val="22"/>
          <w:szCs w:val="22"/>
        </w:rPr>
        <w:t xml:space="preserve">    4.2 Key market trends</w:t>
      </w:r>
    </w:p>
    <w:p>
      <w:pPr>
        <w:spacing w:after="120" w:line="276"/>
      </w:pPr>
      <w:r>
        <w:rPr>
          <w:sz w:val="22"/>
          <w:szCs w:val="22"/>
        </w:rPr>
        <w:t xml:space="preserve">    4.3 Competitor landscape</w:t>
      </w:r>
    </w:p>
    <w:p>
      <w:pPr>
        <w:spacing w:after="120" w:line="276"/>
      </w:pPr>
      <w:r>
        <w:rPr>
          <w:sz w:val="22"/>
          <w:szCs w:val="22"/>
        </w:rPr>
        <w:t xml:space="preserve">    4.4 Consumer behaviour and needs</w:t>
      </w:r>
    </w:p>
    <w:p>
      <w:pPr>
        <w:spacing w:after="120" w:line="276"/>
      </w:pPr>
      <w:r>
        <w:rPr>
          <w:sz w:val="22"/>
          <w:szCs w:val="22"/>
        </w:rPr>
        <w:t xml:space="preserve">    4.5 Framework synthesis: PESTLE, Porter and SWOT</w:t>
      </w:r>
    </w:p>
    <w:p>
      <w:pPr>
        <w:spacing w:after="120" w:line="276"/>
      </w:pPr>
      <w:r>
        <w:rPr>
          <w:sz w:val="22"/>
          <w:szCs w:val="22"/>
        </w:rPr>
        <w:t xml:space="preserve">5. Opportunity Identification</w:t>
      </w:r>
    </w:p>
    <w:p>
      <w:pPr>
        <w:spacing w:after="120" w:line="276"/>
      </w:pPr>
      <w:r>
        <w:rPr>
          <w:sz w:val="22"/>
          <w:szCs w:val="22"/>
        </w:rPr>
        <w:t xml:space="preserve">6. Proposed Product Vision</w:t>
      </w:r>
    </w:p>
    <w:p>
      <w:pPr>
        <w:spacing w:after="120" w:line="276"/>
      </w:pPr>
      <w:r>
        <w:rPr>
          <w:sz w:val="22"/>
          <w:szCs w:val="22"/>
        </w:rPr>
        <w:t xml:space="preserve">7. Recommendations and Roadmap</w:t>
      </w:r>
    </w:p>
    <w:p>
      <w:pPr>
        <w:spacing w:after="120" w:line="276"/>
      </w:pPr>
      <w:r>
        <w:rPr>
          <w:sz w:val="22"/>
          <w:szCs w:val="22"/>
        </w:rPr>
        <w:t xml:space="preserve">8. Risks and Limitations</w:t>
      </w:r>
    </w:p>
    <w:p>
      <w:pPr>
        <w:spacing w:after="120" w:line="276"/>
      </w:pPr>
      <w:r>
        <w:rPr>
          <w:sz w:val="22"/>
          <w:szCs w:val="22"/>
        </w:rPr>
        <w:t xml:space="preserve">9. Conclusion</w:t>
      </w:r>
    </w:p>
    <w:p>
      <w:pPr>
        <w:spacing w:after="120" w:line="276"/>
      </w:pPr>
      <w:r>
        <w:rPr>
          <w:sz w:val="22"/>
          <w:szCs w:val="22"/>
        </w:rPr>
        <w:t xml:space="preserve">References</w:t>
      </w:r>
    </w:p>
    <w:p>
      <w:r>
        <w:br w:type="page"/>
      </w:r>
    </w:p>
    <w:p>
      <w:pPr>
        <w:pStyle w:val="Heading1"/>
      </w:pPr>
      <w:r>
        <w:t xml:space="preserve">1. Executive Summary</w:t>
      </w:r>
    </w:p>
    <w:p>
      <w:pPr>
        <w:spacing w:after="120" w:line="276"/>
      </w:pPr>
      <w:r>
        <w:rPr>
          <w:sz w:val="22"/>
          <w:szCs w:val="22"/>
        </w:rPr>
        <w:t xml:space="preserve">India is one of the world's largest and fastest-growing e-commerce markets. Published estimates put the market at roughly USD 140 to 200 billion in 2025 to 2026, with growth forecasts of 12 to 18 percent a year through the end of the decade [1][2][3]. Bain &amp; Company estimates that online shoppers have roughly doubled to 290 to 300 million, with Tier 2 and smaller cities contributing about 65 percent of incremental shoppers [4].</w:t>
      </w:r>
    </w:p>
    <w:p>
      <w:pPr>
        <w:spacing w:after="120" w:line="276"/>
      </w:pPr>
      <w:r>
        <w:rPr>
          <w:sz w:val="22"/>
          <w:szCs w:val="22"/>
        </w:rPr>
        <w:t xml:space="preserve">The market is led by Flipkart and Amazon, with Meesho as the value-segment challenger and Blinkit, Zepto and Swiggy Instamart dominating quick commerce. Incumbents are strongest in metros and in high-value categories. Our analysis finds that the fastest-growing group of shoppers, first-time buyers in Tier 2 and smaller cities, is also the group whose needs are least completely met: they want trust, vernacular language support, flexible payment, reliable delivery and easy returns, not just low prices.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12"/>
              <w:left w:val="single" w:color="BFC7D1" w:sz="4"/>
              <w:bottom w:val="single" w:color="BFC7D1" w:sz="4"/>
              <w:right w:val="single" w:color="BFC7D1" w:sz="4"/>
            </w:tcBorders>
            <w:shd w:fill="E8EEF6" w:val="clear"/>
            <w:tcMar>
              <w:top w:type="dxa" w:w="120"/>
              <w:left w:type="dxa" w:w="180"/>
              <w:bottom w:type="dxa" w:w="120"/>
              <w:right w:type="dxa" w:w="180"/>
            </w:tcMar>
          </w:tcPr>
          <w:p>
            <w:pPr>
              <w:spacing w:after="60"/>
            </w:pPr>
            <w:r>
              <w:rPr>
                <w:b/>
                <w:bCs/>
                <w:color w:val="1F3A5F"/>
                <w:sz w:val="22"/>
                <w:szCs w:val="22"/>
              </w:rPr>
              <w:t xml:space="preserve">Proposed product vision</w:t>
            </w:r>
          </w:p>
          <w:p>
            <w:r>
              <w:rPr>
                <w:i/>
                <w:iCs/>
                <w:sz w:val="22"/>
                <w:szCs w:val="22"/>
              </w:rPr>
              <w:t xml:space="preserve">To be the most trusted way for India's next 200 million online shoppers to discover, buy and receive what they need, in their own language, on their own payment terms, with confidence at every step.</w:t>
            </w:r>
          </w:p>
        </w:tc>
      </w:tr>
    </w:tbl>
    <w:p>
      <w:pPr>
        <w:spacing w:after="120"/>
      </w:pPr>
    </w:p>
    <w:p>
      <w:pPr>
        <w:spacing w:after="120" w:line="276"/>
      </w:pPr>
      <w:r>
        <w:rPr>
          <w:b/>
          <w:bCs/>
          <w:sz w:val="22"/>
          <w:szCs w:val="22"/>
        </w:rPr>
        <w:t xml:space="preserve">Key recommendations: </w:t>
      </w:r>
      <w:r>
        <w:rPr>
          <w:sz w:val="22"/>
          <w:szCs w:val="22"/>
        </w:rPr>
        <w:t xml:space="preserve">(1) build a trust-first, vernacular, voice-assisted shopping experience for Tier 2+ shoppers; (2) differentiate on delivery reliability and returns confidence rather than on price alone; (3) enter through two or three high-frequency categories before broadening; (4) use a hybrid fulfilment model with local sellers and third-party logistics rather than heavy dark-store investment; and (5) measure success through trust and repeat-purchase metrics, not just GMV.</w:t>
      </w:r>
    </w:p>
    <w:p>
      <w:pPr>
        <w:pStyle w:val="Heading1"/>
      </w:pPr>
      <w:r>
        <w:t xml:space="preserve">2. Introduction</w:t>
      </w:r>
    </w:p>
    <w:p>
      <w:pPr>
        <w:pStyle w:val="Heading2"/>
      </w:pPr>
      <w:r>
        <w:t xml:space="preserve">2.1 Purpose</w:t>
      </w:r>
    </w:p>
    <w:p>
      <w:pPr>
        <w:spacing w:after="120" w:line="276"/>
      </w:pPr>
      <w:r>
        <w:rPr>
          <w:sz w:val="22"/>
          <w:szCs w:val="22"/>
        </w:rPr>
        <w:t xml:space="preserve">This document presents a market analysis of Indian e-commerce and uses it to define a product vision for a new e-commerce platform. It identifies market trends, examines competitor strategies, and pinpoints unmet customer needs, then connects these findings to a vision, a set of strategic bets and a phased roadmap.</w:t>
      </w:r>
    </w:p>
    <w:p>
      <w:pPr>
        <w:pStyle w:val="Heading2"/>
      </w:pPr>
      <w:r>
        <w:t xml:space="preserve">2.2 Scope</w:t>
      </w:r>
    </w:p>
    <w:p>
      <w:pPr>
        <w:spacing w:after="120" w:line="276"/>
      </w:pPr>
      <w:r>
        <w:rPr>
          <w:sz w:val="22"/>
          <w:szCs w:val="22"/>
        </w:rPr>
        <w:t xml:space="preserve">The scope is the Indian B2C e-commerce market, covering horizontal marketplaces, fashion and beauty verticals, value and social commerce, and quick commerce. B2B e-commerce, travel and food delivery are out of scope except where they directly affect the competitive picture.</w:t>
      </w:r>
    </w:p>
    <w:p>
      <w:pPr>
        <w:pStyle w:val="Heading2"/>
      </w:pPr>
      <w:r>
        <w:t xml:space="preserve">2.3 Why now</w:t>
      </w:r>
    </w:p>
    <w:p>
      <w:pPr>
        <w:spacing w:after="120" w:line="276"/>
      </w:pPr>
      <w:r>
        <w:rPr>
          <w:sz w:val="22"/>
          <w:szCs w:val="22"/>
        </w:rPr>
        <w:t xml:space="preserve">Three forces make this a particularly relevant moment. First, shopper growth is shifting decisively to smaller cities. Second, payments infrastructure (UPI) has removed one of the biggest historical barriers to online purchase. Third, the incumbent race is increasingly focused on speed and dark-store networks in dense metros, which leaves room for a differently positioned entrant to serve underserved segments.</w:t>
      </w:r>
    </w:p>
    <w:p>
      <w:pPr>
        <w:pStyle w:val="Heading1"/>
      </w:pPr>
      <w:r>
        <w:t xml:space="preserve">3. Methodology</w:t>
      </w:r>
    </w:p>
    <w:p>
      <w:pPr>
        <w:pStyle w:val="Heading2"/>
      </w:pPr>
      <w:r>
        <w:t xml:space="preserve">3.1 Approach</w:t>
      </w:r>
    </w:p>
    <w:p>
      <w:pPr>
        <w:spacing w:after="120" w:line="276"/>
      </w:pPr>
      <w:r>
        <w:rPr>
          <w:sz w:val="22"/>
          <w:szCs w:val="22"/>
        </w:rPr>
        <w:t xml:space="preserve">The study uses secondary research based on publicly available sources, structured through standard product-strategy frameworks. The process followed five steps:</w:t>
      </w:r>
    </w:p>
    <w:p>
      <w:pPr>
        <w:pStyle w:val="ListParagraph"/>
        <w:numPr>
          <w:ilvl w:val="0"/>
          <w:numId w:val="2"/>
        </w:numPr>
        <w:spacing w:after="80" w:line="276"/>
      </w:pPr>
      <w:r>
        <w:rPr>
          <w:sz w:val="22"/>
          <w:szCs w:val="22"/>
        </w:rPr>
        <w:t xml:space="preserve">Collect market-size, growth and segment data from industry reports, analyst notes and trade press.</w:t>
      </w:r>
    </w:p>
    <w:p>
      <w:pPr>
        <w:pStyle w:val="ListParagraph"/>
        <w:numPr>
          <w:ilvl w:val="0"/>
          <w:numId w:val="2"/>
        </w:numPr>
        <w:spacing w:after="80" w:line="276"/>
      </w:pPr>
      <w:r>
        <w:rPr>
          <w:sz w:val="22"/>
          <w:szCs w:val="22"/>
        </w:rPr>
        <w:t xml:space="preserve">Profile the main competitors on scale, positioning, strengths and weaknesses.</w:t>
      </w:r>
    </w:p>
    <w:p>
      <w:pPr>
        <w:pStyle w:val="ListParagraph"/>
        <w:numPr>
          <w:ilvl w:val="0"/>
          <w:numId w:val="2"/>
        </w:numPr>
        <w:spacing w:after="80" w:line="276"/>
      </w:pPr>
      <w:r>
        <w:rPr>
          <w:sz w:val="22"/>
          <w:szCs w:val="22"/>
        </w:rPr>
        <w:t xml:space="preserve">Synthesise consumer behaviour data, with attention to differences between metro and Tier 2+ shoppers.</w:t>
      </w:r>
    </w:p>
    <w:p>
      <w:pPr>
        <w:pStyle w:val="ListParagraph"/>
        <w:numPr>
          <w:ilvl w:val="0"/>
          <w:numId w:val="2"/>
        </w:numPr>
        <w:spacing w:after="80" w:line="276"/>
      </w:pPr>
      <w:r>
        <w:rPr>
          <w:sz w:val="22"/>
          <w:szCs w:val="22"/>
        </w:rPr>
        <w:t xml:space="preserve">Apply PESTLE, Porter's Five Forces and SWOT to turn the data into strategic implications.</w:t>
      </w:r>
    </w:p>
    <w:p>
      <w:pPr>
        <w:pStyle w:val="ListParagraph"/>
        <w:numPr>
          <w:ilvl w:val="0"/>
          <w:numId w:val="2"/>
        </w:numPr>
        <w:spacing w:after="80" w:line="276"/>
      </w:pPr>
      <w:r>
        <w:rPr>
          <w:sz w:val="22"/>
          <w:szCs w:val="22"/>
        </w:rPr>
        <w:t xml:space="preserve">Score opportunities and derive the product vision, strategy and roadmap.</w:t>
      </w:r>
    </w:p>
    <w:p>
      <w:pPr>
        <w:pStyle w:val="Heading2"/>
      </w:pPr>
      <w:r>
        <w:t xml:space="preserve">3.2 Sources and frameworks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Area</w:t>
            </w:r>
          </w:p>
        </w:tc>
        <w:tc>
          <w:tcPr>
            <w:tcW w:type="dxa" w:w="36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Source types used</w:t>
            </w:r>
          </w:p>
        </w:tc>
        <w:tc>
          <w:tcPr>
            <w:tcW w:type="dxa" w:w="32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Framework applied</w:t>
            </w:r>
          </w:p>
        </w:tc>
      </w:tr>
      <w:tr>
        <w:trPr>
          <w:tblHeader w:val="false"/>
        </w:trPr>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Market size and growth</w:t>
            </w:r>
          </w:p>
        </w:tc>
        <w:tc>
          <w:tcPr>
            <w:tcW w:type="dxa" w:w="3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Research firms (GlobalData, Research and Markets, MarkNtel Advisors, ECDB), brokerage notes</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Triangulation across sources</w:t>
            </w:r>
          </w:p>
        </w:tc>
      </w:tr>
      <w:tr>
        <w:trPr>
          <w:tblHeader w:val="false"/>
        </w:trPr>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Competitors</w:t>
            </w:r>
          </w:p>
        </w:tc>
        <w:tc>
          <w:tcPr>
            <w:tcW w:type="dxa" w:w="3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Brokerage research (ICICI Securities, CLSA, Bernstein), company filings as reported in the press (Zepto UDRHP)</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Competitor profiling, positioning map</w:t>
            </w:r>
          </w:p>
        </w:tc>
      </w:tr>
      <w:tr>
        <w:trPr>
          <w:tblHeader w:val="false"/>
        </w:trPr>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Consumer behaviour</w:t>
            </w:r>
          </w:p>
        </w:tc>
        <w:tc>
          <w:tcPr>
            <w:tcW w:type="dxa" w:w="3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Bain &amp; Company, PwC India, payments data, industry commentary</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Jobs-to-be-done, segment comparison</w:t>
            </w:r>
          </w:p>
        </w:tc>
      </w:tr>
      <w:tr>
        <w:trPr>
          <w:tblHeader w:val="false"/>
        </w:trPr>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Strategic synthesis</w:t>
            </w:r>
          </w:p>
        </w:tc>
        <w:tc>
          <w:tcPr>
            <w:tcW w:type="dxa" w:w="3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All of the above</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PESTLE, Porter's Five Forces, SWOT, opportunity scoring</w:t>
            </w:r>
          </w:p>
        </w:tc>
      </w:tr>
    </w:tbl>
    <w:p>
      <w:pPr>
        <w:spacing w:after="120"/>
      </w:pPr>
    </w:p>
    <w:p>
      <w:pPr>
        <w:pStyle w:val="Heading2"/>
      </w:pPr>
      <w:r>
        <w:t xml:space="preserve">3.3 Data quality and how it was handled</w:t>
      </w:r>
    </w:p>
    <w:p>
      <w:pPr>
        <w:spacing w:after="120" w:line="276"/>
      </w:pPr>
      <w:r>
        <w:rPr>
          <w:sz w:val="22"/>
          <w:szCs w:val="22"/>
        </w:rPr>
        <w:t xml:space="preserve">Published market-size figures differ widely because each source defines the market differently (for example GMV versus revenue, or inclusion of travel and services). To handle this, the document reports ranges rather than single numbers and notes the source of each figure. Competitor share figures are estimates from brokerage research and some date from FY2023; these are flagged where used. Several figures come from trade blogs and aggregators of lower reliability and should be checked against primary reports before external use.</w:t>
      </w:r>
    </w:p>
    <w:p>
      <w:pPr>
        <w:pStyle w:val="Heading1"/>
      </w:pPr>
      <w:r>
        <w:t xml:space="preserve">4. Market Analysis</w:t>
      </w:r>
    </w:p>
    <w:p>
      <w:pPr>
        <w:pStyle w:val="Heading2"/>
      </w:pPr>
      <w:r>
        <w:t xml:space="preserve">4.1 Market size and growth</w:t>
      </w:r>
    </w:p>
    <w:p>
      <w:pPr>
        <w:spacing w:after="120" w:line="276"/>
      </w:pPr>
      <w:r>
        <w:rPr>
          <w:sz w:val="22"/>
          <w:szCs w:val="22"/>
        </w:rPr>
        <w:t xml:space="preserve">All major sources agree on direction (strong double-digit growth) but not on level. The table below summarises the main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Source</w:t>
            </w:r>
          </w:p>
        </w:tc>
        <w:tc>
          <w:tcPr>
            <w:tcW w:type="dxa" w:w="28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Market size</w:t>
            </w:r>
          </w:p>
        </w:tc>
        <w:tc>
          <w:tcPr>
            <w:tcW w:type="dxa" w:w="32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Growth outlook</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GlobalData [3]</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USD 200.9B (2025); USD 225.9B (2026)</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12.4% growth in 2026; USD 314.5B by 2029</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Research and Markets [1]</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USD 159.3B (2026)</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15.9% CAGR to USD 332.9B by 2031</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MarkNtel Advisors [2]</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About USD 140B (2025); USD 165.2B (2026)</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18% CAGR to USD 446B by 2032</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ECDB [5]</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USD 138.4B (2025)</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 to 15% growth in 2025 and 2026</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ICICI Securities / CLSA [6]</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About USD 70B (FY25), a narrower GMV definition</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USD 174 to 214B by FY30</w:t>
            </w:r>
          </w:p>
        </w:tc>
      </w:tr>
    </w:tbl>
    <w:p>
      <w:pPr>
        <w:spacing w:after="120" w:line="276"/>
      </w:pPr>
      <w:r>
        <w:rPr>
          <w:i/>
          <w:iCs/>
          <w:color w:val="555555"/>
          <w:sz w:val="18"/>
          <w:szCs w:val="18"/>
        </w:rPr>
        <w:t xml:space="preserve">Note: figures are not directly comparable because definitions differ. The consistent message is a market that is large, growing at roughly 12 to 18% a year, and still early in penetration.</w:t>
      </w:r>
    </w:p>
    <w:p>
      <w:pPr>
        <w:spacing w:after="120" w:line="276"/>
      </w:pPr>
      <w:r>
        <w:rPr>
          <w:b/>
          <w:bCs/>
          <w:sz w:val="22"/>
          <w:szCs w:val="22"/>
        </w:rPr>
        <w:t xml:space="preserve">Takeaway: </w:t>
      </w:r>
      <w:r>
        <w:rPr>
          <w:sz w:val="22"/>
          <w:szCs w:val="22"/>
        </w:rPr>
        <w:t xml:space="preserve">Even on conservative definitions, the market is expected to roughly double within five years. Growth is driven by shopper additions rather than by higher spend per shopper alone.</w:t>
      </w:r>
    </w:p>
    <w:p>
      <w:pPr>
        <w:pStyle w:val="Heading2"/>
      </w:pPr>
      <w:r>
        <w:t xml:space="preserve">4.2 Key market trends</w:t>
      </w:r>
    </w:p>
    <w:p>
      <w:pPr>
        <w:pStyle w:val="Heading2"/>
      </w:pPr>
      <w:r>
        <w:t xml:space="preserve">Trend 1: Mobile-first, UPI-led commerce</w:t>
      </w:r>
    </w:p>
    <w:p>
      <w:pPr>
        <w:spacing w:after="120" w:line="276"/>
      </w:pPr>
      <w:r>
        <w:rPr>
          <w:sz w:val="22"/>
          <w:szCs w:val="22"/>
        </w:rPr>
        <w:t xml:space="preserve">Mobile devices account for roughly 76 to 78 percent of the market by device type [1][2], and the major marketplaces report that more than 85 percent of their traffic comes from apps [7]. UPI processed a record 18.4 billion transactions in February 2026 and handles an estimated 60 to 65 percent of online transaction volume [8].</w:t>
      </w:r>
    </w:p>
    <w:p>
      <w:pPr>
        <w:pStyle w:val="Heading2"/>
      </w:pPr>
      <w:r>
        <w:t xml:space="preserve">Trend 2: Growth is moving beyond the metros</w:t>
      </w:r>
    </w:p>
    <w:p>
      <w:pPr>
        <w:spacing w:after="120" w:line="276"/>
      </w:pPr>
      <w:r>
        <w:rPr>
          <w:sz w:val="22"/>
          <w:szCs w:val="22"/>
        </w:rPr>
        <w:t xml:space="preserve">Bain reports that Tier 2+ cities contribute roughly 65 percent of incremental shoppers, Gen Z about 40 percent and middle-income households about 50 percent [4]. Unicommerce data indicates that Tier 2 and Tier 3 cities generated 66 percent of new direct-to-consumer orders in FY26 [8]. The seller base has also tripled in five years, again with a large share in smaller cities [4].</w:t>
      </w:r>
    </w:p>
    <w:p>
      <w:pPr>
        <w:pStyle w:val="Heading2"/>
      </w:pPr>
      <w:r>
        <w:t xml:space="preserve">Trend 3: Quick commerce is scaling fast but is not yet proven outside top cities</w:t>
      </w:r>
    </w:p>
    <w:p>
      <w:pPr>
        <w:spacing w:after="120" w:line="276"/>
      </w:pPr>
      <w:r>
        <w:rPr>
          <w:sz w:val="22"/>
          <w:szCs w:val="22"/>
        </w:rPr>
        <w:t xml:space="preserve">Quick commerce is estimated at USD 10 to 12.5 billion GMV, growing at about 40 percent year on year, with the three leading players' dark-store network reaching 5,026 stores in May 2026, up 48 percent in a year [9]. Bain cautions that customer adoption and profitability beyond the top metros and Tier 1 cities remain unproven [4]. Flipkart Minutes and Amazon Now have entered the segment, intensifying competition [10].</w:t>
      </w:r>
    </w:p>
    <w:p>
      <w:pPr>
        <w:pStyle w:val="Heading2"/>
      </w:pPr>
      <w:r>
        <w:t xml:space="preserve">Trend 4: Value and social commerce</w:t>
      </w:r>
    </w:p>
    <w:p>
      <w:pPr>
        <w:spacing w:after="120" w:line="276"/>
      </w:pPr>
      <w:r>
        <w:rPr>
          <w:sz w:val="22"/>
          <w:szCs w:val="22"/>
        </w:rPr>
        <w:t xml:space="preserve">Meesho's model of zero-commission selling and low prices has made it the leader in order volume, with more than half of its sales coming from Tier 2 and smaller cities [11]. This shows there is large demand for mass-market, price-led propositions that the premium-leaning incumbents do not fully serve.</w:t>
      </w:r>
    </w:p>
    <w:p>
      <w:pPr>
        <w:pStyle w:val="Heading2"/>
      </w:pPr>
      <w:r>
        <w:t xml:space="preserve">Trend 5: Payments mix is shifting but cash on delivery persists</w:t>
      </w:r>
    </w:p>
    <w:p>
      <w:pPr>
        <w:spacing w:after="120" w:line="276"/>
      </w:pPr>
      <w:r>
        <w:rPr>
          <w:sz w:val="22"/>
          <w:szCs w:val="22"/>
        </w:rPr>
        <w:t xml:space="preserve">Cash on delivery has fallen to an estimated 25 to 30 percent of orders nationally, with prepaid the default in the big metros [8]. In smaller cities, however, many first-time buyers still prefer it, mainly to limit fraud risk rather than because of unfamiliarity with digital payments [12]. High return-to-origin (RTO) rates in secondary cities remain a cost problem for sellers [8].</w:t>
      </w:r>
    </w:p>
    <w:p>
      <w:pPr>
        <w:pStyle w:val="Heading2"/>
      </w:pPr>
      <w:r>
        <w:t xml:space="preserve">Trend 6: Voice, vernacular and AI-led discovery</w:t>
      </w:r>
    </w:p>
    <w:p>
      <w:pPr>
        <w:spacing w:after="120" w:line="276"/>
      </w:pPr>
      <w:r>
        <w:rPr>
          <w:sz w:val="22"/>
          <w:szCs w:val="22"/>
        </w:rPr>
        <w:t xml:space="preserve">Industry commentary expects voice and vernacular interfaces, AR try-ons and AI personalisation to become mainstream by 2030, with flexible credit embedded into UPI checkout [13]. These are forecasts rather than measured outcomes, but they point to where product differentiation is likely to occur.</w:t>
      </w:r>
    </w:p>
    <w:p>
      <w:pPr>
        <w:pStyle w:val="Heading2"/>
      </w:pPr>
      <w:r>
        <w:t xml:space="preserve">4.3 Competitor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Player</w:t>
            </w:r>
          </w:p>
        </w:tc>
        <w:tc>
          <w:tcPr>
            <w:tcW w:type="dxa" w:w="1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Scale (estimate)</w:t>
            </w:r>
          </w:p>
        </w:tc>
        <w:tc>
          <w:tcPr>
            <w:tcW w:type="dxa" w:w="28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Positioning and strategy</w:t>
            </w:r>
          </w:p>
        </w:tc>
        <w:tc>
          <w:tcPr>
            <w:tcW w:type="dxa" w:w="26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Gaps / vulnerabilities</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Flipkart (incl. Myntra, Shopsy)</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50-60% of GMV; 220-240M MAU [6]</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Broad marketplace; strong in smartphones, electronics and fashion; shifting from acquisition to upselling existing users</w:t>
            </w:r>
          </w:p>
        </w:tc>
        <w:tc>
          <w:tcPr>
            <w:tcW w:type="dxa" w:w="2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Premium and metro skew in some categories; reliance on large sales events</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Amazon India</w:t>
            </w:r>
          </w:p>
        </w:tc>
        <w:tc>
          <w:tcPr>
            <w:tcW w:type="dxa" w:w="1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25-30% of GMV; ~150M MAU [6]</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Selection, Prime, seller tools; strong in premium electronics, beauty and FMCG</w:t>
            </w:r>
          </w:p>
        </w:tc>
        <w:tc>
          <w:tcPr>
            <w:tcW w:type="dxa" w:w="2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User growth has lagged Flipkart and Meesho; premium image limits mass-market reach</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Meesho</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 of GMV; leader in daily orders [6][11]</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Zero-commission, low-price, social-commerce roots; over half of sales from Tier 2+</w:t>
            </w:r>
          </w:p>
        </w:tc>
        <w:tc>
          <w:tcPr>
            <w:tcW w:type="dxa" w:w="2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 average order value and margins; returns are costly; trust in quality is mixed</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Blinkit, Zepto, Instamart</w:t>
            </w:r>
          </w:p>
        </w:tc>
        <w:tc>
          <w:tcPr>
            <w:tcW w:type="dxa" w:w="1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FY26 orders: 917M, 640M, 412M [14]</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 to 20 minute delivery from dark stores; expanding SKUs beyond grocery</w:t>
            </w:r>
          </w:p>
        </w:tc>
        <w:tc>
          <w:tcPr>
            <w:tcW w:type="dxa" w:w="2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Heavy losses and capital need; dense-city dependence; share shift away from Instamart</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Verticals (Nykaa, Myntra, Ajio)</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Category leaders in beauty and fashion</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Curated assortment, brand trust, content and community</w:t>
            </w:r>
          </w:p>
        </w:tc>
        <w:tc>
          <w:tcPr>
            <w:tcW w:type="dxa" w:w="2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Narrow category scope; limited reach in small towns</w:t>
            </w:r>
          </w:p>
        </w:tc>
      </w:tr>
    </w:tbl>
    <w:p>
      <w:pPr>
        <w:spacing w:after="120"/>
      </w:pPr>
    </w:p>
    <w:p>
      <w:pPr>
        <w:spacing w:after="120" w:line="276"/>
      </w:pPr>
      <w:r>
        <w:rPr>
          <w:b/>
          <w:bCs/>
          <w:sz w:val="22"/>
          <w:szCs w:val="22"/>
        </w:rPr>
        <w:t xml:space="preserve">Strategic reading. </w:t>
      </w:r>
      <w:r>
        <w:rPr>
          <w:sz w:val="22"/>
          <w:szCs w:val="22"/>
        </w:rPr>
        <w:t xml:space="preserve">Flipkart and Amazon compete on breadth, logistics and loyalty programmes; quick-commerce players compete on speed in dense cities; Meesho competes on price in smaller cities. No player yet owns the position of the trusted, vernacular-first platform that treats first-time Tier 2+ shoppers as its primary customer. That is the gap the proposed product targets.</w:t>
      </w:r>
    </w:p>
    <w:p>
      <w:pPr>
        <w:pStyle w:val="Heading2"/>
      </w:pPr>
      <w:r>
        <w:t xml:space="preserve">4.4 Consumer behaviour and needs</w:t>
      </w:r>
    </w:p>
    <w:p>
      <w:pPr>
        <w:spacing w:after="120" w:line="276"/>
      </w:pPr>
      <w:r>
        <w:rPr>
          <w:sz w:val="22"/>
          <w:szCs w:val="22"/>
        </w:rPr>
        <w:t xml:space="preserve">PwC's study of how India shops online finds that urban consumers use online shopping mainly for fast delivery and will pay a premium for it, while consumers in the rest of India focus on finding the best deals and discounts [12]. Combined with the other data above, the following picture emerges.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Dimension</w:t>
            </w:r>
          </w:p>
        </w:tc>
        <w:tc>
          <w:tcPr>
            <w:tcW w:type="dxa" w:w="336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Metro / Tier 1 shopper</w:t>
            </w:r>
          </w:p>
        </w:tc>
        <w:tc>
          <w:tcPr>
            <w:tcW w:type="dxa" w:w="336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Tier 2+ shopper</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Primary motivation</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Convenience and speed</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Price, deals and access to products not available locally</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Payment</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Prepaid (UPI, cards) is the default</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UPI plus significant cash on delivery to reduce fraud risk</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Language</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English and Hindi comfortable</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Strong preference for regional languages; voice search useful</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Discovery</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Search, apps, quick commerce</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Social media, short video, peer recommendations</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Pain points</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Delivery delays, returns friction</w:t>
            </w:r>
          </w:p>
        </w:tc>
        <w:tc>
          <w:tcPr>
            <w:tcW w:type="dxa" w:w="336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Trust in sellers, product quality, failed deliveries due to address issues, return hassle</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Growth in new shoppers</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Slower</w:t>
            </w:r>
          </w:p>
        </w:tc>
        <w:tc>
          <w:tcPr>
            <w:tcW w:type="dxa" w:w="336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Much faster; roughly 65% of incremental shoppers [4]</w:t>
            </w:r>
          </w:p>
        </w:tc>
      </w:tr>
    </w:tbl>
    <w:p>
      <w:pPr>
        <w:spacing w:after="120"/>
      </w:pPr>
    </w:p>
    <w:p>
      <w:pPr>
        <w:pStyle w:val="Heading2"/>
      </w:pPr>
      <w:r>
        <w:t xml:space="preserve">Jobs to be done</w:t>
      </w:r>
    </w:p>
    <w:p>
      <w:pPr>
        <w:pStyle w:val="ListParagraph"/>
        <w:numPr>
          <w:ilvl w:val="0"/>
          <w:numId w:val="3"/>
        </w:numPr>
        <w:spacing w:after="80" w:line="276"/>
      </w:pPr>
      <w:r>
        <w:rPr>
          <w:b/>
          <w:bCs/>
          <w:sz w:val="22"/>
          <w:szCs w:val="22"/>
        </w:rPr>
        <w:t xml:space="preserve">"Help me buy with confidence." </w:t>
      </w:r>
      <w:r>
        <w:rPr>
          <w:sz w:val="22"/>
          <w:szCs w:val="22"/>
        </w:rPr>
        <w:t xml:space="preserve">A first-time buyer wants assurance that the product is genuine, the seller is real and the money is safe.</w:t>
      </w:r>
    </w:p>
    <w:p>
      <w:pPr>
        <w:pStyle w:val="ListParagraph"/>
        <w:numPr>
          <w:ilvl w:val="0"/>
          <w:numId w:val="3"/>
        </w:numPr>
        <w:spacing w:after="80" w:line="276"/>
      </w:pPr>
      <w:r>
        <w:rPr>
          <w:b/>
          <w:bCs/>
          <w:sz w:val="22"/>
          <w:szCs w:val="22"/>
        </w:rPr>
        <w:t xml:space="preserve">"Let me shop in my own language." </w:t>
      </w:r>
      <w:r>
        <w:rPr>
          <w:sz w:val="22"/>
          <w:szCs w:val="22"/>
        </w:rPr>
        <w:t xml:space="preserve">Search, product pages, support and payment prompts should work in regional languages and by voice.</w:t>
      </w:r>
    </w:p>
    <w:p>
      <w:pPr>
        <w:pStyle w:val="ListParagraph"/>
        <w:numPr>
          <w:ilvl w:val="0"/>
          <w:numId w:val="3"/>
        </w:numPr>
        <w:spacing w:after="80" w:line="276"/>
      </w:pPr>
      <w:r>
        <w:rPr>
          <w:b/>
          <w:bCs/>
          <w:sz w:val="22"/>
          <w:szCs w:val="22"/>
        </w:rPr>
        <w:t xml:space="preserve">"Let me pay my way." </w:t>
      </w:r>
      <w:r>
        <w:rPr>
          <w:sz w:val="22"/>
          <w:szCs w:val="22"/>
        </w:rPr>
        <w:t xml:space="preserve">Flexible options such as UPI, partial advance with balance on delivery, or pay-later.</w:t>
      </w:r>
    </w:p>
    <w:p>
      <w:pPr>
        <w:pStyle w:val="ListParagraph"/>
        <w:numPr>
          <w:ilvl w:val="0"/>
          <w:numId w:val="3"/>
        </w:numPr>
        <w:spacing w:after="80" w:line="276"/>
      </w:pPr>
      <w:r>
        <w:rPr>
          <w:b/>
          <w:bCs/>
          <w:sz w:val="22"/>
          <w:szCs w:val="22"/>
        </w:rPr>
        <w:t xml:space="preserve">"Get it to me reliably and let me return it easily." </w:t>
      </w:r>
      <w:r>
        <w:rPr>
          <w:sz w:val="22"/>
          <w:szCs w:val="22"/>
        </w:rPr>
        <w:t xml:space="preserve">Predictable delivery to imperfect addresses and a painless return or exchange.</w:t>
      </w:r>
    </w:p>
    <w:p>
      <w:pPr>
        <w:pStyle w:val="Heading2"/>
      </w:pPr>
      <w:r>
        <w:t xml:space="preserve">4.5 Framework synthesis</w:t>
      </w:r>
    </w:p>
    <w:p>
      <w:pPr>
        <w:pStyle w:val="Heading2"/>
      </w:pPr>
      <w:r>
        <w:t xml:space="preserve">PESTLE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Factor</w:t>
            </w:r>
          </w:p>
        </w:tc>
        <w:tc>
          <w:tcPr>
            <w:tcW w:type="dxa" w:w="75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Implication for a new entrant</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Political</w:t>
            </w:r>
          </w:p>
        </w:tc>
        <w:tc>
          <w:tcPr>
            <w:tcW w:type="dxa" w:w="7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Government digital initiatives and the ONDC open network may lower distribution costs and help integrate small sellers (ONDC volumes are reported to be small but growing [7]).</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Economic</w:t>
            </w:r>
          </w:p>
        </w:tc>
        <w:tc>
          <w:tcPr>
            <w:tcW w:type="dxa" w:w="7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Rising incomes and a growing middle class support spend; price sensitivity in Tier 2+ demands tight unit economics.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Social</w:t>
            </w:r>
          </w:p>
        </w:tc>
        <w:tc>
          <w:tcPr>
            <w:tcW w:type="dxa" w:w="7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Gen Z and women shoppers are growing groups; social media and creator content drive discovery.</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Technological</w:t>
            </w:r>
          </w:p>
        </w:tc>
        <w:tc>
          <w:tcPr>
            <w:tcW w:type="dxa" w:w="7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UPI, low-cost smartphones, vernacular AI and voice interfaces enable new experiences.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Legal</w:t>
            </w:r>
          </w:p>
        </w:tc>
        <w:tc>
          <w:tcPr>
            <w:tcW w:type="dxa" w:w="7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FDI rules restrict inventory-led models for foreign-owned marketplaces; consumer protection and data privacy rules apply and must be designed in from the start.</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Environmental</w:t>
            </w:r>
          </w:p>
        </w:tc>
        <w:tc>
          <w:tcPr>
            <w:tcW w:type="dxa" w:w="7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High return rates and packaging waste create cost and reputation risk; better size and fit guidance can reduce them.</w:t>
            </w:r>
          </w:p>
        </w:tc>
      </w:tr>
    </w:tbl>
    <w:p>
      <w:pPr>
        <w:spacing w:after="120"/>
      </w:pPr>
    </w:p>
    <w:p>
      <w:pPr>
        <w:pStyle w:val="Heading2"/>
      </w:pPr>
      <w:r>
        <w:t xml:space="preserve">Porter's Five Forces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tblHeader/>
        </w:trPr>
        <w:tc>
          <w:tcPr>
            <w:tcW w:type="dxa" w:w="24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Force</w:t>
            </w:r>
          </w:p>
        </w:tc>
        <w:tc>
          <w:tcPr>
            <w:tcW w:type="dxa" w:w="1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Intensity</w:t>
            </w:r>
          </w:p>
        </w:tc>
        <w:tc>
          <w:tcPr>
            <w:tcW w:type="dxa" w:w="53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Rationale</w:t>
            </w:r>
          </w:p>
        </w:tc>
      </w:tr>
      <w:tr>
        <w:trPr>
          <w:tblHeader w:val="false"/>
        </w:trPr>
        <w:tc>
          <w:tcPr>
            <w:tcW w:type="dxa" w:w="24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Rivalry among existing players</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High</w:t>
            </w:r>
          </w:p>
        </w:tc>
        <w:tc>
          <w:tcPr>
            <w:tcW w:type="dxa" w:w="5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Deep-pocketed incumbents, heavy discounting and a quick-commerce arms race.</w:t>
            </w:r>
          </w:p>
        </w:tc>
      </w:tr>
      <w:tr>
        <w:trPr>
          <w:tblHeader w:val="false"/>
        </w:trPr>
        <w:tc>
          <w:tcPr>
            <w:tcW w:type="dxa" w:w="24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Threat of new entrants</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Medium to high</w:t>
            </w:r>
          </w:p>
        </w:tc>
        <w:tc>
          <w:tcPr>
            <w:tcW w:type="dxa" w:w="5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Low technology barriers, but high capital need for logistics and customer acquisition.</w:t>
            </w:r>
          </w:p>
        </w:tc>
      </w:tr>
      <w:tr>
        <w:trPr>
          <w:tblHeader w:val="false"/>
        </w:trPr>
        <w:tc>
          <w:tcPr>
            <w:tcW w:type="dxa" w:w="24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Buyer power</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High</w:t>
            </w:r>
          </w:p>
        </w:tc>
        <w:tc>
          <w:tcPr>
            <w:tcW w:type="dxa" w:w="5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 switching costs; shoppers compare prices and use multiple apps.</w:t>
            </w:r>
          </w:p>
        </w:tc>
      </w:tr>
      <w:tr>
        <w:trPr>
          <w:tblHeader w:val="false"/>
        </w:trPr>
        <w:tc>
          <w:tcPr>
            <w:tcW w:type="dxa" w:w="24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Supplier (seller) power</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Medium</w:t>
            </w:r>
          </w:p>
        </w:tc>
        <w:tc>
          <w:tcPr>
            <w:tcW w:type="dxa" w:w="5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Sellers multi-home across platforms, so commission and tools matter.</w:t>
            </w:r>
          </w:p>
        </w:tc>
      </w:tr>
      <w:tr>
        <w:trPr>
          <w:tblHeader w:val="false"/>
        </w:trPr>
        <w:tc>
          <w:tcPr>
            <w:tcW w:type="dxa" w:w="24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Threat of substitutes</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Medium</w:t>
            </w:r>
          </w:p>
        </w:tc>
        <w:tc>
          <w:tcPr>
            <w:tcW w:type="dxa" w:w="5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Local retail stores, WhatsApp sellers and social commerce remain strong alternatives.</w:t>
            </w:r>
          </w:p>
        </w:tc>
      </w:tr>
    </w:tbl>
    <w:p>
      <w:pPr>
        <w:spacing w:after="120"/>
      </w:pPr>
    </w:p>
    <w:p>
      <w:pPr>
        <w:pStyle w:val="Heading2"/>
      </w:pPr>
      <w:r>
        <w:t xml:space="preserve">SWOT for a new entrant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Strengths (potential)</w:t>
            </w:r>
          </w:p>
        </w:tc>
        <w:tc>
          <w:tcPr>
            <w:tcW w:type="dxa" w:w="451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Weaknesses</w:t>
            </w:r>
          </w:p>
        </w:tc>
      </w:tr>
      <w:tr>
        <w:trPr>
          <w:tblHeader w:val="false"/>
        </w:trPr>
        <w:tc>
          <w:tcPr>
            <w:tcW w:type="dxa" w:w="45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Focused positioning on an underserved segment; no legacy cost structure; freedom to design vernacular-first.</w:t>
            </w:r>
          </w:p>
        </w:tc>
        <w:tc>
          <w:tcPr>
            <w:tcW w:type="dxa" w:w="45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No brand, no logistics network, no seller base at launch; limited capital compared with incumbents.</w:t>
            </w:r>
          </w:p>
        </w:tc>
      </w:tr>
      <w:tr>
        <w:trPr>
          <w:tblHeader w:val="false"/>
        </w:trPr>
        <w:tc>
          <w:tcPr>
            <w:tcW w:type="dxa" w:w="45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Opportunities</w:t>
            </w:r>
          </w:p>
        </w:tc>
        <w:tc>
          <w:tcPr>
            <w:tcW w:type="dxa" w:w="45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Threats</w:t>
            </w:r>
          </w:p>
        </w:tc>
      </w:tr>
      <w:tr>
        <w:trPr>
          <w:tblHeader w:val="false"/>
        </w:trPr>
        <w:tc>
          <w:tcPr>
            <w:tcW w:type="dxa" w:w="45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Rapid growth of Tier 2+ shoppers; trust and returns gaps; ONDC and shared logistics lower entry costs.</w:t>
            </w:r>
          </w:p>
        </w:tc>
        <w:tc>
          <w:tcPr>
            <w:tcW w:type="dxa" w:w="45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Incumbents copying features; price wars; rising customer acquisition costs; RTO and return losses.</w:t>
            </w:r>
          </w:p>
        </w:tc>
      </w:tr>
    </w:tbl>
    <w:p>
      <w:pPr>
        <w:pStyle w:val="Heading1"/>
      </w:pPr>
      <w:r>
        <w:t xml:space="preserve">5. Opportunity Identification</w:t>
      </w:r>
    </w:p>
    <w:p>
      <w:pPr>
        <w:spacing w:after="120" w:line="276"/>
      </w:pPr>
      <w:r>
        <w:rPr>
          <w:sz w:val="22"/>
          <w:szCs w:val="22"/>
        </w:rPr>
        <w:t xml:space="preserve">Drawing the analysis together, five candidate opportunities were scored on a 1 to 5 scale against market size, strength of unmet need, competitive white space and feasibility for a new entrant. The scores are a judgement-based illustration of the method and should be refined with primary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300"/>
        <w:gridCol w:w="1200"/>
        <w:gridCol w:w="626"/>
      </w:tblGrid>
      <w:tr>
        <w:trPr>
          <w:tblHeader/>
        </w:trPr>
        <w:tc>
          <w:tcPr>
            <w:tcW w:type="dxa" w:w="3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Opportunity</w:t>
            </w:r>
          </w:p>
        </w:tc>
        <w:tc>
          <w:tcPr>
            <w:tcW w:type="dxa" w:w="1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Size</w:t>
            </w:r>
          </w:p>
        </w:tc>
        <w:tc>
          <w:tcPr>
            <w:tcW w:type="dxa" w:w="1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Unmet need</w:t>
            </w:r>
          </w:p>
        </w:tc>
        <w:tc>
          <w:tcPr>
            <w:tcW w:type="dxa" w:w="1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White space</w:t>
            </w:r>
          </w:p>
        </w:tc>
        <w:tc>
          <w:tcPr>
            <w:tcW w:type="dxa" w:w="1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Feasibility</w:t>
            </w:r>
          </w:p>
        </w:tc>
        <w:tc>
          <w:tcPr>
            <w:tcW w:type="dxa" w:w="6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Total</w:t>
            </w:r>
          </w:p>
        </w:tc>
      </w:tr>
      <w:tr>
        <w:trPr>
          <w:tblHeader w:val="false"/>
        </w:trPr>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Trust-first, vernacular marketplace for Tier 2+ first-time shoppers</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17</w:t>
            </w:r>
          </w:p>
        </w:tc>
      </w:tr>
      <w:tr>
        <w:trPr>
          <w:tblHeader w:val="false"/>
        </w:trPr>
        <w:tc>
          <w:tcPr>
            <w:tcW w:type="dxa" w:w="3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Quick-commerce challenger in metros</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9</w:t>
            </w:r>
          </w:p>
        </w:tc>
      </w:tr>
      <w:tr>
        <w:trPr>
          <w:tblHeader w:val="false"/>
        </w:trPr>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Premium metro marketplace</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w:t>
            </w:r>
          </w:p>
        </w:tc>
      </w:tr>
      <w:tr>
        <w:trPr>
          <w:tblHeader w:val="false"/>
        </w:trPr>
        <w:tc>
          <w:tcPr>
            <w:tcW w:type="dxa" w:w="3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Category vertical (e.g., home or beauty)</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13</w:t>
            </w:r>
          </w:p>
        </w:tc>
      </w:tr>
      <w:tr>
        <w:trPr>
          <w:tblHeader w:val="false"/>
        </w:trPr>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Social/creator-led shopping app</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12</w:t>
            </w:r>
          </w:p>
        </w:tc>
      </w:tr>
    </w:tbl>
    <w:p>
      <w:pPr>
        <w:spacing w:after="120"/>
      </w:pPr>
    </w:p>
    <w:p>
      <w:pPr>
        <w:spacing w:after="120" w:line="276"/>
      </w:pPr>
      <w:r>
        <w:rPr>
          <w:sz w:val="22"/>
          <w:szCs w:val="22"/>
        </w:rPr>
        <w:t xml:space="preserve">The first option scores highest because it combines the fastest-growing customer segment with a clear, repeated pain-point pattern (trust, language, payment, delivery, returns) that incumbents address only partially, and it avoids head-on competition in the capital-intensive dark-store race.</w:t>
      </w:r>
    </w:p>
    <w:p>
      <w:pPr>
        <w:pStyle w:val="Heading1"/>
      </w:pPr>
      <w:r>
        <w:t xml:space="preserve">6. Proposed Product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12"/>
              <w:left w:val="single" w:color="BFC7D1" w:sz="4"/>
              <w:bottom w:val="single" w:color="BFC7D1" w:sz="4"/>
              <w:right w:val="single" w:color="BFC7D1" w:sz="4"/>
            </w:tcBorders>
            <w:shd w:fill="E8EEF6" w:val="clear"/>
            <w:tcMar>
              <w:top w:type="dxa" w:w="120"/>
              <w:left w:type="dxa" w:w="180"/>
              <w:bottom w:type="dxa" w:w="120"/>
              <w:right w:type="dxa" w:w="180"/>
            </w:tcMar>
          </w:tcPr>
          <w:p>
            <w:pPr>
              <w:spacing w:after="60"/>
            </w:pPr>
            <w:r>
              <w:rPr>
                <w:b/>
                <w:bCs/>
                <w:color w:val="1F3A5F"/>
                <w:sz w:val="22"/>
                <w:szCs w:val="22"/>
              </w:rPr>
              <w:t xml:space="preserve">Vision statement</w:t>
            </w:r>
          </w:p>
          <w:p>
            <w:r>
              <w:rPr>
                <w:i/>
                <w:iCs/>
                <w:sz w:val="22"/>
                <w:szCs w:val="22"/>
              </w:rPr>
              <w:t xml:space="preserve">To be the most trusted way for India's next 200 million online shoppers to discover, buy and receive what they need, in their own language, on their own payment terms, with confidence at every step.</w:t>
            </w:r>
          </w:p>
        </w:tc>
      </w:tr>
    </w:tbl>
    <w:p>
      <w:pPr>
        <w:spacing w:after="120"/>
      </w:pPr>
    </w:p>
    <w:p>
      <w:pPr>
        <w:pStyle w:val="Heading2"/>
      </w:pPr>
      <w:r>
        <w:t xml:space="preserve">6.1 Target customer</w:t>
      </w:r>
    </w:p>
    <w:p>
      <w:pPr>
        <w:spacing w:after="120" w:line="276"/>
      </w:pPr>
      <w:r>
        <w:rPr>
          <w:sz w:val="22"/>
          <w:szCs w:val="22"/>
        </w:rPr>
        <w:t xml:space="preserve">The primary customer is a first-time or early-stage online shopper in a Tier 2 or smaller city, aged roughly 18 to 40, using a mid-range smartphone, comfortable with UPI but cautious about fraud, and more comfortable in a regional language than in English. A secondary segment is small local sellers who want a low-cost way to reach online buyers.</w:t>
      </w:r>
    </w:p>
    <w:p>
      <w:pPr>
        <w:pStyle w:val="Heading2"/>
      </w:pPr>
      <w:r>
        <w:t xml:space="preserve">6.2 Value proposition</w:t>
      </w:r>
    </w:p>
    <w:p>
      <w:pPr>
        <w:spacing w:after="120" w:line="276"/>
      </w:pPr>
      <w:r>
        <w:rPr>
          <w:sz w:val="22"/>
          <w:szCs w:val="22"/>
        </w:rPr>
        <w:t xml:space="preserve">"Shop in your language, pay your way, and get what you ordered, or get your money back, without hassle."</w:t>
      </w:r>
    </w:p>
    <w:p>
      <w:pPr>
        <w:pStyle w:val="Heading2"/>
      </w:pPr>
      <w:r>
        <w:t xml:space="preserve">6.3 Strategic pillars and core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26"/>
        <w:gridCol w:w="3000"/>
      </w:tblGrid>
      <w:tr>
        <w:trPr>
          <w:tblHeader/>
        </w:trPr>
        <w:tc>
          <w:tcPr>
            <w:tcW w:type="dxa" w:w="21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c>
          <w:tcPr>
            <w:tcW w:type="dxa" w:w="39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Core capabilities</w:t>
            </w:r>
          </w:p>
        </w:tc>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Problem addressed</w:t>
            </w:r>
          </w:p>
        </w:tc>
      </w:tr>
      <w:tr>
        <w:trPr>
          <w:tblHeader w:val="false"/>
        </w:trPr>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 Trust by design</w:t>
            </w:r>
          </w:p>
        </w:tc>
        <w:tc>
          <w:tcPr>
            <w:tcW w:type="dxa" w:w="3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Verified sellers and genuine-product badges; transparent seller ratings; money-back guarantee; clear photos and video from sellers; fraud-safe checkout</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Fear of fraud and poor quality</w:t>
            </w:r>
          </w:p>
        </w:tc>
      </w:tr>
      <w:tr>
        <w:trPr>
          <w:tblHeader w:val="false"/>
        </w:trPr>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 Vernacular and voice first</w:t>
            </w:r>
          </w:p>
        </w:tc>
        <w:tc>
          <w:tcPr>
            <w:tcW w:type="dxa" w:w="39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Search, catalogue, support and notifications in major regional languages; voice search and voice-assisted ordering; simple, low-data app design</w:t>
            </w:r>
          </w:p>
        </w:tc>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Language and digital-literacy barriers</w:t>
            </w:r>
          </w:p>
        </w:tc>
      </w:tr>
      <w:tr>
        <w:trPr>
          <w:tblHeader w:val="false"/>
        </w:trPr>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 Flexible payments</w:t>
            </w:r>
          </w:p>
        </w:tc>
        <w:tc>
          <w:tcPr>
            <w:tcW w:type="dxa" w:w="3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UPI, partial advance with balance on delivery, order confirmation by WhatsApp or call to cut false COD orders, pay-later options</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COD preference and RTO losses</w:t>
            </w:r>
          </w:p>
        </w:tc>
      </w:tr>
      <w:tr>
        <w:trPr>
          <w:tblHeader w:val="false"/>
        </w:trPr>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 Reliable delivery and easy returns</w:t>
            </w:r>
          </w:p>
        </w:tc>
        <w:tc>
          <w:tcPr>
            <w:tcW w:type="dxa" w:w="39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Address verification and pin-drop capture; delivery slot choice and live tracking; one-tap returns and exchanges; size and fit guidance</w:t>
            </w:r>
          </w:p>
        </w:tc>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Failed deliveries, return friction</w:t>
            </w:r>
          </w:p>
        </w:tc>
      </w:tr>
      <w:tr>
        <w:trPr>
          <w:tblHeader w:val="false"/>
        </w:trPr>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 Local seller enablement</w:t>
            </w:r>
          </w:p>
        </w:tc>
        <w:tc>
          <w:tcPr>
            <w:tcW w:type="dxa" w:w="3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Low-commission onboarding in regional languages; catalogue tools; integration with open networks such as ONDC</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Supply depth and price competitiveness</w:t>
            </w:r>
          </w:p>
        </w:tc>
      </w:tr>
    </w:tbl>
    <w:p>
      <w:pPr>
        <w:spacing w:after="120"/>
      </w:pPr>
    </w:p>
    <w:p>
      <w:pPr>
        <w:pStyle w:val="Heading2"/>
      </w:pPr>
      <w:r>
        <w:t xml:space="preserve">6.4 Differentiation</w:t>
      </w:r>
    </w:p>
    <w:p>
      <w:pPr>
        <w:spacing w:after="120" w:line="276"/>
      </w:pPr>
      <w:r>
        <w:rPr>
          <w:sz w:val="22"/>
          <w:szCs w:val="22"/>
        </w:rPr>
        <w:t xml:space="preserve">Where incumbents compete on breadth, speed or price, this product competes on confidence. The moat is built from accumulated trust (verified seller data and reliable delivery performance), vernacular content and search quality, and local seller relationships. These are difficult to copy quickly because they depend on operations and data, not only on features.</w:t>
      </w:r>
    </w:p>
    <w:p>
      <w:pPr>
        <w:pStyle w:val="Heading2"/>
      </w:pPr>
      <w:r>
        <w:t xml:space="preserve">6.5 Alignment with market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Market finding</w:t>
            </w:r>
          </w:p>
        </w:tc>
        <w:tc>
          <w:tcPr>
            <w:tcW w:type="dxa" w:w="5013"/>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How the vision responds</w:t>
            </w:r>
          </w:p>
        </w:tc>
      </w:tr>
      <w:tr>
        <w:trPr>
          <w:tblHeader w:val="false"/>
        </w:trPr>
        <w:tc>
          <w:tcPr>
            <w:tcW w:type="dxa" w:w="4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Tier 2+ drives about 65% of new shoppers [4]</w:t>
            </w:r>
          </w:p>
        </w:tc>
        <w:tc>
          <w:tcPr>
            <w:tcW w:type="dxa" w:w="5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Primary target is the Tier 2+ first-time shopper</w:t>
            </w:r>
          </w:p>
        </w:tc>
      </w:tr>
      <w:tr>
        <w:trPr>
          <w:tblHeader w:val="false"/>
        </w:trPr>
        <w:tc>
          <w:tcPr>
            <w:tcW w:type="dxa" w:w="4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Cash on delivery persists because of fraud fears [12]</w:t>
            </w:r>
          </w:p>
        </w:tc>
        <w:tc>
          <w:tcPr>
            <w:tcW w:type="dxa" w:w="5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Trust guarantees, partial-COD and WhatsApp order confirmation</w:t>
            </w:r>
          </w:p>
        </w:tc>
      </w:tr>
      <w:tr>
        <w:trPr>
          <w:tblHeader w:val="false"/>
        </w:trPr>
        <w:tc>
          <w:tcPr>
            <w:tcW w:type="dxa" w:w="4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Vernacular and voice expected to go mainstream [13]</w:t>
            </w:r>
          </w:p>
        </w:tc>
        <w:tc>
          <w:tcPr>
            <w:tcW w:type="dxa" w:w="5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Vernacular and voice built in from day one</w:t>
            </w:r>
          </w:p>
        </w:tc>
      </w:tr>
      <w:tr>
        <w:trPr>
          <w:tblHeader w:val="false"/>
        </w:trPr>
        <w:tc>
          <w:tcPr>
            <w:tcW w:type="dxa" w:w="4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Secondary-city RTO and delivery failures are higher [8]</w:t>
            </w:r>
          </w:p>
        </w:tc>
        <w:tc>
          <w:tcPr>
            <w:tcW w:type="dxa" w:w="5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Address verification, slots and tracking</w:t>
            </w:r>
          </w:p>
        </w:tc>
      </w:tr>
      <w:tr>
        <w:trPr>
          <w:tblHeader w:val="false"/>
        </w:trPr>
        <w:tc>
          <w:tcPr>
            <w:tcW w:type="dxa" w:w="4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Quick commerce unproven outside top cities and capital-heavy [4][9]</w:t>
            </w:r>
          </w:p>
        </w:tc>
        <w:tc>
          <w:tcPr>
            <w:tcW w:type="dxa" w:w="5013"/>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Hybrid fulfilment, not a dark-store race</w:t>
            </w:r>
          </w:p>
        </w:tc>
      </w:tr>
      <w:tr>
        <w:trPr>
          <w:tblHeader w:val="false"/>
        </w:trPr>
        <w:tc>
          <w:tcPr>
            <w:tcW w:type="dxa" w:w="4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Meesho shows demand for value but with trust gaps [11]</w:t>
            </w:r>
          </w:p>
        </w:tc>
        <w:tc>
          <w:tcPr>
            <w:tcW w:type="dxa" w:w="5013"/>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Value plus verified quality and easy returns</w:t>
            </w:r>
          </w:p>
        </w:tc>
      </w:tr>
    </w:tbl>
    <w:p>
      <w:pPr>
        <w:pStyle w:val="Heading1"/>
      </w:pPr>
      <w:r>
        <w:t xml:space="preserve">7. Recommendations and Roadmap</w:t>
      </w:r>
    </w:p>
    <w:p>
      <w:pPr>
        <w:pStyle w:val="Heading2"/>
      </w:pPr>
      <w:r>
        <w:t xml:space="preserve">7.1 Recommendations</w:t>
      </w:r>
    </w:p>
    <w:p>
      <w:pPr>
        <w:pStyle w:val="ListParagraph"/>
        <w:numPr>
          <w:ilvl w:val="0"/>
          <w:numId w:val="4"/>
        </w:numPr>
        <w:spacing w:after="80" w:line="276"/>
      </w:pPr>
      <w:r>
        <w:rPr>
          <w:b/>
          <w:bCs/>
          <w:sz w:val="22"/>
          <w:szCs w:val="22"/>
        </w:rPr>
        <w:t xml:space="preserve">Position on trust, not on price alone. </w:t>
      </w:r>
      <w:r>
        <w:rPr>
          <w:sz w:val="22"/>
          <w:szCs w:val="22"/>
        </w:rPr>
        <w:t xml:space="preserve">Discounting is where incumbents are strongest. Invest instead in seller verification, guarantees and delivery reliability, and publish performance metrics such as on-time delivery and return-resolution time.</w:t>
      </w:r>
    </w:p>
    <w:p>
      <w:pPr>
        <w:pStyle w:val="ListParagraph"/>
        <w:numPr>
          <w:ilvl w:val="0"/>
          <w:numId w:val="4"/>
        </w:numPr>
        <w:spacing w:after="80" w:line="276"/>
      </w:pPr>
      <w:r>
        <w:rPr>
          <w:b/>
          <w:bCs/>
          <w:sz w:val="22"/>
          <w:szCs w:val="22"/>
        </w:rPr>
        <w:t xml:space="preserve">Start narrow. </w:t>
      </w:r>
      <w:r>
        <w:rPr>
          <w:sz w:val="22"/>
          <w:szCs w:val="22"/>
        </w:rPr>
        <w:t xml:space="preserve">Launch in two or three high-frequency categories with strong Tier 2+ demand (for example fashion basics, home and kitchen, and beauty and personal care) in a limited set of cities, then expand.</w:t>
      </w:r>
    </w:p>
    <w:p>
      <w:pPr>
        <w:pStyle w:val="ListParagraph"/>
        <w:numPr>
          <w:ilvl w:val="0"/>
          <w:numId w:val="4"/>
        </w:numPr>
        <w:spacing w:after="80" w:line="276"/>
      </w:pPr>
      <w:r>
        <w:rPr>
          <w:b/>
          <w:bCs/>
          <w:sz w:val="22"/>
          <w:szCs w:val="22"/>
        </w:rPr>
        <w:t xml:space="preserve">Make vernacular and voice a core product, not a translation layer. </w:t>
      </w:r>
      <w:r>
        <w:rPr>
          <w:sz w:val="22"/>
          <w:szCs w:val="22"/>
        </w:rPr>
        <w:t xml:space="preserve">Begin with Hindi plus two or three regional languages and expand based on usage.</w:t>
      </w:r>
    </w:p>
    <w:p>
      <w:pPr>
        <w:pStyle w:val="ListParagraph"/>
        <w:numPr>
          <w:ilvl w:val="0"/>
          <w:numId w:val="4"/>
        </w:numPr>
        <w:spacing w:after="80" w:line="276"/>
      </w:pPr>
      <w:r>
        <w:rPr>
          <w:b/>
          <w:bCs/>
          <w:sz w:val="22"/>
          <w:szCs w:val="22"/>
        </w:rPr>
        <w:t xml:space="preserve">Use a hybrid, asset-light fulfilment model. </w:t>
      </w:r>
      <w:r>
        <w:rPr>
          <w:sz w:val="22"/>
          <w:szCs w:val="22"/>
        </w:rPr>
        <w:t xml:space="preserve">Partner with third-party logistics and local sellers, using regional hubs for 2 to 3 day delivery, and reserve dark-store investment for later if economics justify it.</w:t>
      </w:r>
    </w:p>
    <w:p>
      <w:pPr>
        <w:pStyle w:val="ListParagraph"/>
        <w:numPr>
          <w:ilvl w:val="0"/>
          <w:numId w:val="4"/>
        </w:numPr>
        <w:spacing w:after="80" w:line="276"/>
      </w:pPr>
      <w:r>
        <w:rPr>
          <w:b/>
          <w:bCs/>
          <w:sz w:val="22"/>
          <w:szCs w:val="22"/>
        </w:rPr>
        <w:t xml:space="preserve">Design payments to reduce RTO. </w:t>
      </w:r>
      <w:r>
        <w:rPr>
          <w:sz w:val="22"/>
          <w:szCs w:val="22"/>
        </w:rPr>
        <w:t xml:space="preserve">Offer partial advance, WhatsApp confirmation and prepaid incentives while keeping COD available for first-time buyers.</w:t>
      </w:r>
    </w:p>
    <w:p>
      <w:pPr>
        <w:pStyle w:val="ListParagraph"/>
        <w:numPr>
          <w:ilvl w:val="0"/>
          <w:numId w:val="4"/>
        </w:numPr>
        <w:spacing w:after="80" w:line="276"/>
      </w:pPr>
      <w:r>
        <w:rPr>
          <w:b/>
          <w:bCs/>
          <w:sz w:val="22"/>
          <w:szCs w:val="22"/>
        </w:rPr>
        <w:t xml:space="preserve">Run primary research early. </w:t>
      </w:r>
      <w:r>
        <w:rPr>
          <w:sz w:val="22"/>
          <w:szCs w:val="22"/>
        </w:rPr>
        <w:t xml:space="preserve">Validate the assumptions in this report through interviews and a pilot with Tier 2+ shoppers and local sellers.</w:t>
      </w:r>
    </w:p>
    <w:p>
      <w:pPr>
        <w:pStyle w:val="Heading2"/>
      </w:pPr>
      <w:r>
        <w:t xml:space="preserve">7.2 Phased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Phase</w:t>
            </w:r>
          </w:p>
        </w:tc>
        <w:tc>
          <w:tcPr>
            <w:tcW w:type="dxa" w:w="2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Timeline</w:t>
            </w:r>
          </w:p>
        </w:tc>
        <w:tc>
          <w:tcPr>
            <w:tcW w:type="dxa" w:w="55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Focus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Phase 0: Validate</w:t>
            </w:r>
          </w:p>
        </w:tc>
        <w:tc>
          <w:tcPr>
            <w:tcW w:type="dxa" w:w="2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Months 0 to 3</w:t>
            </w:r>
          </w:p>
        </w:tc>
        <w:tc>
          <w:tcPr>
            <w:tcW w:type="dxa" w:w="5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User interviews, seller discovery, concierge pilot, finalise categories and cities</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Phase 1: MVP</w:t>
            </w:r>
          </w:p>
        </w:tc>
        <w:tc>
          <w:tcPr>
            <w:tcW w:type="dxa" w:w="2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Months 3 to 9</w:t>
            </w:r>
          </w:p>
        </w:tc>
        <w:tc>
          <w:tcPr>
            <w:tcW w:type="dxa" w:w="5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Vernacular app, verified sellers, partial-COD, address verification, returns flow; launch in 3 to 5 cities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Phase 2: Scale</w:t>
            </w:r>
          </w:p>
        </w:tc>
        <w:tc>
          <w:tcPr>
            <w:tcW w:type="dxa" w:w="2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Months 9 to 18</w:t>
            </w:r>
          </w:p>
        </w:tc>
        <w:tc>
          <w:tcPr>
            <w:tcW w:type="dxa" w:w="5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Voice ordering, more languages and categories, loyalty, seller tools, ONDC integration</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Phase 3: Expand</w:t>
            </w:r>
          </w:p>
        </w:tc>
        <w:tc>
          <w:tcPr>
            <w:tcW w:type="dxa" w:w="2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Months 18+</w:t>
            </w:r>
          </w:p>
        </w:tc>
        <w:tc>
          <w:tcPr>
            <w:tcW w:type="dxa" w:w="5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Faster delivery in dense clusters, pay-later, personalised discovery</w:t>
            </w:r>
          </w:p>
        </w:tc>
      </w:tr>
    </w:tbl>
    <w:p>
      <w:pPr>
        <w:spacing w:after="120"/>
      </w:pPr>
    </w:p>
    <w:p>
      <w:pPr>
        <w:pStyle w:val="Heading2"/>
      </w:pPr>
      <w:r>
        <w:t xml:space="preserve">7.3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Metric</w:t>
            </w:r>
          </w:p>
        </w:tc>
        <w:tc>
          <w:tcPr>
            <w:tcW w:type="dxa" w:w="60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Why it matters</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Repeat purchase rate (30 and 90 day)</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Core indicator of trust and satisfaction</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RTO rate and failed-delivery rate</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Direct measure of delivery and payment design</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Return rate and return-resolution time</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Measures product-quality and returns experience</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Share of orders in regional languages / by voice</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Measures whether vernacular strategy is being adopted</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Net Promoter Score and seller satisfaction</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Both sides of the marketplace</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Contribution margin per order</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Ensures growth is economically sustainable</w:t>
            </w:r>
          </w:p>
        </w:tc>
      </w:tr>
    </w:tbl>
    <w:p>
      <w:pPr>
        <w:pStyle w:val="Heading1"/>
      </w:pPr>
      <w:r>
        <w:t xml:space="preserve">8. Risks and Limitations</w:t>
      </w:r>
    </w:p>
    <w:p>
      <w:pPr>
        <w:pStyle w:val="Heading2"/>
      </w:pPr>
      <w:r>
        <w:t xml:space="preserve">8.1 Strategic risks</w:t>
      </w:r>
    </w:p>
    <w:p>
      <w:pPr>
        <w:pStyle w:val="ListParagraph"/>
        <w:numPr>
          <w:ilvl w:val="0"/>
          <w:numId w:val="3"/>
        </w:numPr>
        <w:spacing w:after="80" w:line="276"/>
      </w:pPr>
      <w:r>
        <w:rPr>
          <w:b/>
          <w:bCs/>
          <w:sz w:val="22"/>
          <w:szCs w:val="22"/>
        </w:rPr>
        <w:t xml:space="preserve">Incumbent response: </w:t>
      </w:r>
      <w:r>
        <w:rPr>
          <w:sz w:val="22"/>
          <w:szCs w:val="22"/>
        </w:rPr>
        <w:t xml:space="preserve">Flipkart, Amazon and Meesho may add similar trust and vernacular features. Mitigation: build operational moats (seller quality, delivery performance) that are hard to copy.</w:t>
      </w:r>
    </w:p>
    <w:p>
      <w:pPr>
        <w:pStyle w:val="ListParagraph"/>
        <w:numPr>
          <w:ilvl w:val="0"/>
          <w:numId w:val="3"/>
        </w:numPr>
        <w:spacing w:after="80" w:line="276"/>
      </w:pPr>
      <w:r>
        <w:rPr>
          <w:b/>
          <w:bCs/>
          <w:sz w:val="22"/>
          <w:szCs w:val="22"/>
        </w:rPr>
        <w:t xml:space="preserve">Unit economics: </w:t>
      </w:r>
      <w:r>
        <w:rPr>
          <w:sz w:val="22"/>
          <w:szCs w:val="22"/>
        </w:rPr>
        <w:t xml:space="preserve">Low order values and returns can make Tier 2+ delivery unprofitable. Mitigation: focus on categories with healthy margins and use partial-advance payments.</w:t>
      </w:r>
    </w:p>
    <w:p>
      <w:pPr>
        <w:pStyle w:val="ListParagraph"/>
        <w:numPr>
          <w:ilvl w:val="0"/>
          <w:numId w:val="3"/>
        </w:numPr>
        <w:spacing w:after="80" w:line="276"/>
      </w:pPr>
      <w:r>
        <w:rPr>
          <w:b/>
          <w:bCs/>
          <w:sz w:val="22"/>
          <w:szCs w:val="22"/>
        </w:rPr>
        <w:t xml:space="preserve">Capital and customer acquisition cost: </w:t>
      </w:r>
      <w:r>
        <w:rPr>
          <w:sz w:val="22"/>
          <w:szCs w:val="22"/>
        </w:rPr>
        <w:t xml:space="preserve">Mitigation: use creator and community-led acquisition and a narrow geographic launch.</w:t>
      </w:r>
    </w:p>
    <w:p>
      <w:pPr>
        <w:pStyle w:val="ListParagraph"/>
        <w:numPr>
          <w:ilvl w:val="0"/>
          <w:numId w:val="3"/>
        </w:numPr>
        <w:spacing w:after="80" w:line="276"/>
      </w:pPr>
      <w:r>
        <w:rPr>
          <w:b/>
          <w:bCs/>
          <w:sz w:val="22"/>
          <w:szCs w:val="22"/>
        </w:rPr>
        <w:t xml:space="preserve">Regulatory change: </w:t>
      </w:r>
      <w:r>
        <w:rPr>
          <w:sz w:val="22"/>
          <w:szCs w:val="22"/>
        </w:rPr>
        <w:t xml:space="preserve">Rules on FDI, data protection and consumer protection are evolving. Mitigation: design for compliance from the start.</w:t>
      </w:r>
    </w:p>
    <w:p>
      <w:pPr>
        <w:pStyle w:val="Heading2"/>
      </w:pPr>
      <w:r>
        <w:t xml:space="preserve">8.2 Limitations of this study</w:t>
      </w:r>
    </w:p>
    <w:p>
      <w:pPr>
        <w:spacing w:after="120" w:line="276"/>
      </w:pPr>
      <w:r>
        <w:rPr>
          <w:sz w:val="22"/>
          <w:szCs w:val="22"/>
        </w:rPr>
        <w:t xml:space="preserve">This analysis relies on secondary sources. Market-size definitions differ, some competitor shares are estimates or date from FY2023, and some data comes from trade blogs of varying reliability. The opportunity scores are judgement-based. The next step should be primary research (customer and seller interviews, pilot data) to validate the vision before significant investment.</w:t>
      </w:r>
    </w:p>
    <w:p>
      <w:pPr>
        <w:pStyle w:val="Heading1"/>
      </w:pPr>
      <w:r>
        <w:t xml:space="preserve">9. Conclusion</w:t>
      </w:r>
    </w:p>
    <w:p>
      <w:pPr>
        <w:spacing w:after="120" w:line="276"/>
      </w:pPr>
      <w:r>
        <w:rPr>
          <w:sz w:val="22"/>
          <w:szCs w:val="22"/>
        </w:rPr>
        <w:t xml:space="preserve">India's e-commerce market is large and growing quickly, and the next wave of growth comes from Tier 2 and smaller cities. Incumbents are strong but are concentrating on breadth, premium segments and the quick-commerce race in dense metros. A gap remains for a platform that serves first-time and early-stage Tier 2+ shoppers on their terms, with trust, vernacular language, flexible payments and reliable delivery and returns. The proposed vision, together with the phased roadmap and metrics above, gives a clear and evidence-based path to testing that opportunity.</w:t>
      </w:r>
    </w:p>
    <w:p>
      <w:pPr>
        <w:pStyle w:val="Heading1"/>
      </w:pPr>
      <w:r>
        <w:t xml:space="preserve">References</w:t>
      </w:r>
    </w:p>
    <w:p>
      <w:pPr>
        <w:spacing w:after="80"/>
      </w:pPr>
      <w:r>
        <w:rPr>
          <w:sz w:val="19"/>
          <w:szCs w:val="19"/>
        </w:rPr>
        <w:t xml:space="preserve">[1] Research and Markets, India E-commerce Market Share Analysis, Industry Trends and Forecasts 2026-2031 (July 2026). researchandmarkets.com/reports/5601202</w:t>
      </w:r>
    </w:p>
    <w:p>
      <w:pPr>
        <w:spacing w:after="80"/>
      </w:pPr>
      <w:r>
        <w:rPr>
          <w:sz w:val="19"/>
          <w:szCs w:val="19"/>
        </w:rPr>
        <w:t xml:space="preserve">[2] MarkNtel Advisors, India E-Commerce Market Research Report 2026-2032 (April 2026). marknteladvisors.com</w:t>
      </w:r>
    </w:p>
    <w:p>
      <w:pPr>
        <w:spacing w:after="80"/>
      </w:pPr>
      <w:r>
        <w:rPr>
          <w:sz w:val="19"/>
          <w:szCs w:val="19"/>
        </w:rPr>
        <w:t xml:space="preserve">[3] GlobalData, India's e-commerce market to register 12.4% growth in 2026. globaldata.com</w:t>
      </w:r>
    </w:p>
    <w:p>
      <w:pPr>
        <w:spacing w:after="80"/>
      </w:pPr>
      <w:r>
        <w:rPr>
          <w:sz w:val="19"/>
          <w:szCs w:val="19"/>
        </w:rPr>
        <w:t xml:space="preserve">[4] Bain &amp; Company, How India Shops Online 2026. bain.com</w:t>
      </w:r>
    </w:p>
    <w:p>
      <w:pPr>
        <w:spacing w:after="80"/>
      </w:pPr>
      <w:r>
        <w:rPr>
          <w:sz w:val="19"/>
          <w:szCs w:val="19"/>
        </w:rPr>
        <w:t xml:space="preserve">[5] ECDB, E-Commerce Industry in India (market sample data). ecdb.com</w:t>
      </w:r>
    </w:p>
    <w:p>
      <w:pPr>
        <w:spacing w:after="80"/>
      </w:pPr>
      <w:r>
        <w:rPr>
          <w:sz w:val="19"/>
          <w:szCs w:val="19"/>
        </w:rPr>
        <w:t xml:space="preserve">[6] ICICI Securities and CLSA research as reported in: Flipkart leads India e-commerce with 50-60% GMV share (askfuzz.ai); Flipkart Beats Amazon, Meesho in Gross Revenues (trak.in, May 2026)</w:t>
      </w:r>
    </w:p>
    <w:p>
      <w:pPr>
        <w:spacing w:after="80"/>
      </w:pPr>
      <w:r>
        <w:rPr>
          <w:sz w:val="19"/>
          <w:szCs w:val="19"/>
        </w:rPr>
        <w:t xml:space="preserve">[7] SaaSUltra, India E-commerce Statistics 2026 (trade aggregator; verify against primary sources). saasultra.com</w:t>
      </w:r>
    </w:p>
    <w:p>
      <w:pPr>
        <w:spacing w:after="80"/>
      </w:pPr>
      <w:r>
        <w:rPr>
          <w:sz w:val="19"/>
          <w:szCs w:val="19"/>
        </w:rPr>
        <w:t xml:space="preserve">[8] Unicommerce data and COD/RTO commentary as reported by EasySell, COD Ecommerce Growth Is Moving to Tier 2 Cities (2026). easysellapp.com</w:t>
      </w:r>
    </w:p>
    <w:p>
      <w:pPr>
        <w:spacing w:after="80"/>
      </w:pPr>
      <w:r>
        <w:rPr>
          <w:sz w:val="19"/>
          <w:szCs w:val="19"/>
        </w:rPr>
        <w:t xml:space="preserve">[9] Equirus report as covered in: India quick commerce 40% growth, 5,026 dark stores (shopappy.com, 2026)</w:t>
      </w:r>
    </w:p>
    <w:p>
      <w:pPr>
        <w:spacing w:after="80"/>
      </w:pPr>
      <w:r>
        <w:rPr>
          <w:sz w:val="19"/>
          <w:szCs w:val="19"/>
        </w:rPr>
        <w:t xml:space="preserve">[10] iThink Logistics, Quick Commerce Companies in India 2026 (April 2026). ithinklogistics.com</w:t>
      </w:r>
    </w:p>
    <w:p>
      <w:pPr>
        <w:spacing w:after="80"/>
      </w:pPr>
      <w:r>
        <w:rPr>
          <w:sz w:val="19"/>
          <w:szCs w:val="19"/>
        </w:rPr>
        <w:t xml:space="preserve">[11] TechCrunch, Meesho GMV tops $5B (AllianceBernstein note); OfficeChai, Meesho now gets more orders than Amazon, Flipkart (CLSA)</w:t>
      </w:r>
    </w:p>
    <w:p>
      <w:pPr>
        <w:spacing w:after="80"/>
      </w:pPr>
      <w:r>
        <w:rPr>
          <w:sz w:val="19"/>
          <w:szCs w:val="19"/>
        </w:rPr>
        <w:t xml:space="preserve">[12] PwC India, How India shops online: Consumer preferences in the metropolises and tier 1-4 cities, as reported by Retail4Growth (March 2026)</w:t>
      </w:r>
    </w:p>
    <w:p>
      <w:pPr>
        <w:spacing w:after="80"/>
      </w:pPr>
      <w:r>
        <w:rPr>
          <w:sz w:val="19"/>
          <w:szCs w:val="19"/>
        </w:rPr>
        <w:t xml:space="preserve">[13] Punekar News, What Will Online Shopping Look Like in 2030? (8 July 2026; forecast-style commentary)</w:t>
      </w:r>
    </w:p>
    <w:p>
      <w:pPr>
        <w:spacing w:after="80"/>
      </w:pPr>
      <w:r>
        <w:rPr>
          <w:sz w:val="19"/>
          <w:szCs w:val="19"/>
        </w:rPr>
        <w:t xml:space="preserve">[14] Zepto updated DRHP disclosures as reported by Apparel Resources (Instamart share decline) and Angel One News (FY26 comparison, 11 June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Market Analysis and Product Vision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2026-10-03T15:09:27.201Z</dcterms:created>
  <dcterms:modified xsi:type="dcterms:W3CDTF">2026-10-03T15:09:27.201Z</dcterms:modified>
</cp:coreProperties>
</file>

<file path=docProps/custom.xml><?xml version="1.0" encoding="utf-8"?>
<Properties xmlns="http://schemas.openxmlformats.org/officeDocument/2006/custom-properties" xmlns:vt="http://schemas.openxmlformats.org/officeDocument/2006/docPropsVTypes"/>
</file>