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701" w:type="dxa"/>
        <w:jc w:val="center"/>
        <w:tblInd w:w="0" w:type="dxa"/>
        <w:tblCellMar>
          <w:top w:w="17" w:type="dxa"/>
          <w:right w:w="19" w:type="dxa"/>
        </w:tblCellMar>
        <w:tblLook w:val="04A0" w:firstRow="1" w:lastRow="0" w:firstColumn="1" w:lastColumn="0" w:noHBand="0" w:noVBand="1"/>
      </w:tblPr>
      <w:tblGrid>
        <w:gridCol w:w="5701"/>
      </w:tblGrid>
      <w:tr w:rsidR="00D71ECE" w14:paraId="48DB3083" w14:textId="77777777" w:rsidTr="009748DE">
        <w:trPr>
          <w:trHeight w:val="399"/>
          <w:jc w:val="center"/>
        </w:trPr>
        <w:tc>
          <w:tcPr>
            <w:tcW w:w="5701" w:type="dxa"/>
          </w:tcPr>
          <w:p w14:paraId="5A173F10" w14:textId="0E7DFE39" w:rsidR="00D71ECE" w:rsidRDefault="00000000" w:rsidP="005074D0">
            <w:pPr>
              <w:spacing w:after="0" w:line="240" w:lineRule="auto"/>
              <w:ind w:left="24"/>
            </w:pPr>
            <w:proofErr w:type="spellStart"/>
            <w:r>
              <w:rPr>
                <w:sz w:val="36"/>
              </w:rPr>
              <w:t>Primary_And_Secondary_Analysis</w:t>
            </w:r>
            <w:proofErr w:type="spellEnd"/>
          </w:p>
        </w:tc>
      </w:tr>
      <w:tr w:rsidR="009748DE" w14:paraId="05C6AB46" w14:textId="77777777" w:rsidTr="009748DE">
        <w:trPr>
          <w:trHeight w:val="399"/>
          <w:jc w:val="center"/>
        </w:trPr>
        <w:tc>
          <w:tcPr>
            <w:tcW w:w="5701" w:type="dxa"/>
          </w:tcPr>
          <w:p w14:paraId="1C1C53C7" w14:textId="77777777" w:rsidR="009748DE" w:rsidRDefault="009748DE" w:rsidP="005074D0">
            <w:pPr>
              <w:spacing w:after="0" w:line="240" w:lineRule="auto"/>
              <w:ind w:left="24"/>
              <w:rPr>
                <w:sz w:val="36"/>
              </w:rPr>
            </w:pPr>
          </w:p>
        </w:tc>
      </w:tr>
    </w:tbl>
    <w:p w14:paraId="1BE0FA6B" w14:textId="77777777" w:rsidR="00D71ECE" w:rsidRDefault="00000000" w:rsidP="005074D0">
      <w:pPr>
        <w:spacing w:after="203" w:line="240" w:lineRule="auto"/>
        <w:ind w:left="10"/>
        <w:jc w:val="left"/>
      </w:pPr>
      <w:r>
        <w:rPr>
          <w:sz w:val="34"/>
        </w:rPr>
        <w:t>Questions from the available data (Primary)</w:t>
      </w:r>
    </w:p>
    <w:p w14:paraId="20F392C5" w14:textId="77777777" w:rsidR="00D71ECE" w:rsidRDefault="00000000" w:rsidP="005074D0">
      <w:pPr>
        <w:numPr>
          <w:ilvl w:val="0"/>
          <w:numId w:val="1"/>
        </w:numPr>
        <w:spacing w:after="43" w:line="240" w:lineRule="auto"/>
        <w:ind w:right="167" w:hanging="341"/>
      </w:pPr>
      <w:r>
        <w:rPr>
          <w:sz w:val="26"/>
        </w:rPr>
        <w:t>Top and Bottom Performing Cities</w:t>
      </w:r>
    </w:p>
    <w:p w14:paraId="3B525660" w14:textId="77777777" w:rsidR="00D71ECE" w:rsidRDefault="00000000" w:rsidP="005074D0">
      <w:pPr>
        <w:numPr>
          <w:ilvl w:val="1"/>
          <w:numId w:val="1"/>
        </w:numPr>
        <w:spacing w:after="352" w:line="240" w:lineRule="auto"/>
        <w:ind w:right="91" w:hanging="356"/>
      </w:pPr>
      <w:r>
        <w:rPr>
          <w:sz w:val="26"/>
        </w:rPr>
        <w:t>Identify the top 3 and bottom 3 cities by total trips over the entire analysis period.</w:t>
      </w:r>
    </w:p>
    <w:p w14:paraId="60C86D4D" w14:textId="77777777" w:rsidR="00D71ECE" w:rsidRDefault="00000000" w:rsidP="005074D0">
      <w:pPr>
        <w:numPr>
          <w:ilvl w:val="0"/>
          <w:numId w:val="1"/>
        </w:numPr>
        <w:spacing w:line="240" w:lineRule="auto"/>
        <w:ind w:right="167" w:hanging="341"/>
      </w:pPr>
      <w:r>
        <w:t>Average Fare per Trip by City</w:t>
      </w:r>
    </w:p>
    <w:p w14:paraId="0416074E" w14:textId="4E1B269C" w:rsidR="00D71ECE" w:rsidRDefault="00000000" w:rsidP="005074D0">
      <w:pPr>
        <w:spacing w:after="289" w:line="240" w:lineRule="auto"/>
        <w:ind w:left="720" w:right="167" w:hanging="341"/>
      </w:pPr>
      <w:r>
        <w:rPr>
          <w:noProof/>
        </w:rPr>
        <w:drawing>
          <wp:inline distT="0" distB="0" distL="0" distR="0" wp14:anchorId="56366843" wp14:editId="004AB7B9">
            <wp:extent cx="67056" cy="67077"/>
            <wp:effectExtent l="0" t="0" r="0" b="0"/>
            <wp:docPr id="7831" name="Picture 7831"/>
            <wp:cNvGraphicFramePr/>
            <a:graphic xmlns:a="http://schemas.openxmlformats.org/drawingml/2006/main">
              <a:graphicData uri="http://schemas.openxmlformats.org/drawingml/2006/picture">
                <pic:pic xmlns:pic="http://schemas.openxmlformats.org/drawingml/2006/picture">
                  <pic:nvPicPr>
                    <pic:cNvPr id="7831" name="Picture 7831"/>
                    <pic:cNvPicPr/>
                  </pic:nvPicPr>
                  <pic:blipFill>
                    <a:blip r:embed="rId7"/>
                    <a:stretch>
                      <a:fillRect/>
                    </a:stretch>
                  </pic:blipFill>
                  <pic:spPr>
                    <a:xfrm>
                      <a:off x="0" y="0"/>
                      <a:ext cx="67056" cy="67077"/>
                    </a:xfrm>
                    <a:prstGeom prst="rect">
                      <a:avLst/>
                    </a:prstGeom>
                  </pic:spPr>
                </pic:pic>
              </a:graphicData>
            </a:graphic>
          </wp:inline>
        </w:drawing>
      </w:r>
      <w:r>
        <w:t xml:space="preserve"> </w:t>
      </w:r>
      <w:r w:rsidR="005074D0">
        <w:tab/>
      </w:r>
      <w:r>
        <w:t>Calculate the average fare per trip for each city and compare it with the city's average trip distance. Identify the cities with the highest and lowest average fare per trip to assess pricing efficiency across locations.</w:t>
      </w:r>
    </w:p>
    <w:p w14:paraId="5C22F721" w14:textId="77777777" w:rsidR="00D71ECE" w:rsidRDefault="00000000" w:rsidP="005074D0">
      <w:pPr>
        <w:numPr>
          <w:ilvl w:val="0"/>
          <w:numId w:val="1"/>
        </w:numPr>
        <w:spacing w:line="240" w:lineRule="auto"/>
        <w:ind w:right="167" w:hanging="341"/>
      </w:pPr>
      <w:r>
        <w:t>Average Ratings by City and Passenger Type</w:t>
      </w:r>
    </w:p>
    <w:p w14:paraId="446F84E1" w14:textId="77777777" w:rsidR="00D71ECE" w:rsidRDefault="00000000" w:rsidP="005074D0">
      <w:pPr>
        <w:numPr>
          <w:ilvl w:val="1"/>
          <w:numId w:val="1"/>
        </w:numPr>
        <w:spacing w:after="302" w:line="240" w:lineRule="auto"/>
        <w:ind w:right="91" w:hanging="356"/>
      </w:pPr>
      <w:r>
        <w:t>Calculate the average passenger and driver ratings for each city, segmented by passenger type (new vs. repeat). Identify cities with the highest and lowest average ratings.</w:t>
      </w:r>
    </w:p>
    <w:p w14:paraId="0549880E" w14:textId="77777777" w:rsidR="00D71ECE" w:rsidRDefault="00000000" w:rsidP="005074D0">
      <w:pPr>
        <w:numPr>
          <w:ilvl w:val="0"/>
          <w:numId w:val="1"/>
        </w:numPr>
        <w:spacing w:line="240" w:lineRule="auto"/>
        <w:ind w:right="167" w:hanging="341"/>
      </w:pPr>
      <w:r>
        <w:t>Peak and Low Demand Months by City</w:t>
      </w:r>
    </w:p>
    <w:p w14:paraId="70F52C2B" w14:textId="77777777" w:rsidR="00D71ECE" w:rsidRDefault="00000000" w:rsidP="00824E8C">
      <w:pPr>
        <w:numPr>
          <w:ilvl w:val="1"/>
          <w:numId w:val="1"/>
        </w:numPr>
        <w:spacing w:after="302" w:line="240" w:lineRule="auto"/>
        <w:ind w:right="91" w:hanging="356"/>
      </w:pPr>
      <w:r>
        <w:t>For each city, identify the month with the highest total trips (peak demand) and the month with the lowest total trips (low demand). This analysis will help Goodcabs understand seasonal patterns and adjust resources accordingly.</w:t>
      </w:r>
    </w:p>
    <w:p w14:paraId="08AC5879" w14:textId="77777777" w:rsidR="00D71ECE" w:rsidRDefault="00000000" w:rsidP="005074D0">
      <w:pPr>
        <w:numPr>
          <w:ilvl w:val="0"/>
          <w:numId w:val="1"/>
        </w:numPr>
        <w:spacing w:line="240" w:lineRule="auto"/>
        <w:ind w:right="167" w:hanging="341"/>
      </w:pPr>
      <w:r>
        <w:t>Weekend vs. Weekday Trip Demand by City</w:t>
      </w:r>
    </w:p>
    <w:p w14:paraId="56CACE55" w14:textId="77777777" w:rsidR="00D71ECE" w:rsidRDefault="00000000" w:rsidP="00824E8C">
      <w:pPr>
        <w:numPr>
          <w:ilvl w:val="1"/>
          <w:numId w:val="1"/>
        </w:numPr>
        <w:spacing w:after="302" w:line="240" w:lineRule="auto"/>
        <w:ind w:right="91" w:hanging="356"/>
      </w:pPr>
      <w:r>
        <w:t>Compare the total trips taken on weekdays versus weekends for each city over the six-month period. Identify cities with a strong preference for either weekend or weekday trips to understand demand variations.</w:t>
      </w:r>
    </w:p>
    <w:p w14:paraId="3D5A6B72" w14:textId="77777777" w:rsidR="00D71ECE" w:rsidRDefault="00000000" w:rsidP="005074D0">
      <w:pPr>
        <w:numPr>
          <w:ilvl w:val="0"/>
          <w:numId w:val="1"/>
        </w:numPr>
        <w:spacing w:line="240" w:lineRule="auto"/>
        <w:ind w:right="167" w:hanging="341"/>
      </w:pPr>
      <w:r>
        <w:t>Repeat Passenger Frequency and City Contribution Analysis</w:t>
      </w:r>
    </w:p>
    <w:p w14:paraId="50D8C2B7" w14:textId="43CCA6C1" w:rsidR="00D71ECE" w:rsidRDefault="00000000" w:rsidP="005074D0">
      <w:pPr>
        <w:numPr>
          <w:ilvl w:val="1"/>
          <w:numId w:val="1"/>
        </w:numPr>
        <w:spacing w:line="240" w:lineRule="auto"/>
        <w:ind w:right="91" w:hanging="356"/>
      </w:pPr>
      <w:r>
        <w:t>Analyse the frequency of trips taken by repeat passengers in each city (e.g., % of repeat passengers taking 2 trips, 3 trips, etc.). Identify which cities contribute most to higher trip frequencies among repeat passengers, and examine if there are distinguishable patterns between tourism-focused and business-focused cities.</w:t>
      </w:r>
    </w:p>
    <w:p w14:paraId="127863B5" w14:textId="77777777" w:rsidR="009748DE" w:rsidRDefault="009748DE" w:rsidP="005074D0">
      <w:pPr>
        <w:spacing w:line="240" w:lineRule="auto"/>
        <w:ind w:left="735" w:right="91"/>
      </w:pPr>
    </w:p>
    <w:p w14:paraId="26B2B934" w14:textId="2F95E0B6" w:rsidR="00D71ECE" w:rsidRDefault="00000000" w:rsidP="005074D0">
      <w:pPr>
        <w:numPr>
          <w:ilvl w:val="0"/>
          <w:numId w:val="1"/>
        </w:numPr>
        <w:spacing w:after="43" w:line="240" w:lineRule="auto"/>
        <w:ind w:right="167" w:hanging="341"/>
      </w:pPr>
      <w:r>
        <w:rPr>
          <w:sz w:val="26"/>
        </w:rPr>
        <w:t>Monthly Target Achievement Analysis for Key Metrics</w:t>
      </w:r>
    </w:p>
    <w:p w14:paraId="3177C7C0" w14:textId="0EDA5DFF" w:rsidR="00D71ECE" w:rsidRDefault="00000000" w:rsidP="005074D0">
      <w:pPr>
        <w:spacing w:after="667" w:line="240" w:lineRule="auto"/>
        <w:ind w:left="734" w:right="29" w:hanging="355"/>
      </w:pPr>
      <w:r>
        <w:rPr>
          <w:noProof/>
        </w:rPr>
        <w:drawing>
          <wp:inline distT="0" distB="0" distL="0" distR="0" wp14:anchorId="4D76DE77" wp14:editId="64416627">
            <wp:extent cx="67056" cy="67076"/>
            <wp:effectExtent l="0" t="0" r="0" b="0"/>
            <wp:docPr id="9382" name="Picture 9382"/>
            <wp:cNvGraphicFramePr/>
            <a:graphic xmlns:a="http://schemas.openxmlformats.org/drawingml/2006/main">
              <a:graphicData uri="http://schemas.openxmlformats.org/drawingml/2006/picture">
                <pic:pic xmlns:pic="http://schemas.openxmlformats.org/drawingml/2006/picture">
                  <pic:nvPicPr>
                    <pic:cNvPr id="9382" name="Picture 9382"/>
                    <pic:cNvPicPr/>
                  </pic:nvPicPr>
                  <pic:blipFill>
                    <a:blip r:embed="rId8"/>
                    <a:stretch>
                      <a:fillRect/>
                    </a:stretch>
                  </pic:blipFill>
                  <pic:spPr>
                    <a:xfrm>
                      <a:off x="0" y="0"/>
                      <a:ext cx="67056" cy="67076"/>
                    </a:xfrm>
                    <a:prstGeom prst="rect">
                      <a:avLst/>
                    </a:prstGeom>
                  </pic:spPr>
                </pic:pic>
              </a:graphicData>
            </a:graphic>
          </wp:inline>
        </w:drawing>
      </w:r>
      <w:r w:rsidR="005074D0">
        <w:tab/>
      </w:r>
      <w:r>
        <w:t xml:space="preserve"> For each city, evaluate monthly performance against targets for total trips, new passengers, and average passenger ratings from targets db. Determine if each metric met, exceeded, or missed the target, and calculate the percentage difference. Identify any </w:t>
      </w:r>
      <w:r>
        <w:lastRenderedPageBreak/>
        <w:t>consistent patterns in target achievement, particularly across tourism versus business-focused cities.</w:t>
      </w:r>
    </w:p>
    <w:p w14:paraId="5B36CBA4" w14:textId="77777777" w:rsidR="00D71ECE" w:rsidRDefault="00000000" w:rsidP="005074D0">
      <w:pPr>
        <w:numPr>
          <w:ilvl w:val="0"/>
          <w:numId w:val="1"/>
        </w:numPr>
        <w:spacing w:after="298" w:line="240" w:lineRule="auto"/>
        <w:ind w:right="167" w:hanging="341"/>
      </w:pPr>
      <w:r>
        <w:t>Highest and Lowest Repeat Passenger Rate (RPR%) by City and Month</w:t>
      </w:r>
    </w:p>
    <w:p w14:paraId="602F49F0" w14:textId="77777777" w:rsidR="00D71ECE" w:rsidRDefault="00000000" w:rsidP="005074D0">
      <w:pPr>
        <w:numPr>
          <w:ilvl w:val="2"/>
          <w:numId w:val="2"/>
        </w:numPr>
        <w:spacing w:after="392" w:line="240" w:lineRule="auto"/>
        <w:ind w:right="211" w:hanging="350"/>
      </w:pPr>
      <w:r>
        <w:rPr>
          <w:sz w:val="26"/>
        </w:rPr>
        <w:t>Analyse the Repeat Passenger Rate (RPR%) for each city across the sixmonth period. Identify the top 2 and bottom 2 cities based on their RPR% to determine which locations have the strongest and weakest rates.</w:t>
      </w:r>
    </w:p>
    <w:p w14:paraId="11346397" w14:textId="77777777" w:rsidR="00D71ECE" w:rsidRDefault="00000000" w:rsidP="005074D0">
      <w:pPr>
        <w:numPr>
          <w:ilvl w:val="2"/>
          <w:numId w:val="2"/>
        </w:numPr>
        <w:spacing w:after="258" w:line="240" w:lineRule="auto"/>
        <w:ind w:right="211" w:hanging="350"/>
      </w:pPr>
      <w:r>
        <w:t>Similarly, analyse the RPR% by month across all cities and identify the months with the highest and lowest repeat passenger rates. This will help to pinpoint any seasonal patterns or months with higher repeat passenger loyalty.</w:t>
      </w:r>
    </w:p>
    <w:p w14:paraId="21DD64CF" w14:textId="77777777" w:rsidR="00D71ECE" w:rsidRDefault="00000000" w:rsidP="005074D0">
      <w:pPr>
        <w:spacing w:after="893" w:line="240" w:lineRule="auto"/>
        <w:jc w:val="left"/>
      </w:pPr>
      <w:r>
        <w:rPr>
          <w:noProof/>
          <w:sz w:val="22"/>
        </w:rPr>
        <mc:AlternateContent>
          <mc:Choice Requires="wpg">
            <w:drawing>
              <wp:inline distT="0" distB="0" distL="0" distR="0" wp14:anchorId="3BF8D61D" wp14:editId="543AD83F">
                <wp:extent cx="5715000" cy="12196"/>
                <wp:effectExtent l="0" t="0" r="0" b="0"/>
                <wp:docPr id="14394" name="Group 14394"/>
                <wp:cNvGraphicFramePr/>
                <a:graphic xmlns:a="http://schemas.openxmlformats.org/drawingml/2006/main">
                  <a:graphicData uri="http://schemas.microsoft.com/office/word/2010/wordprocessingGroup">
                    <wpg:wgp>
                      <wpg:cNvGrpSpPr/>
                      <wpg:grpSpPr>
                        <a:xfrm>
                          <a:off x="0" y="0"/>
                          <a:ext cx="5715000" cy="12196"/>
                          <a:chOff x="0" y="0"/>
                          <a:chExt cx="5715000" cy="12196"/>
                        </a:xfrm>
                      </wpg:grpSpPr>
                      <wps:wsp>
                        <wps:cNvPr id="14393" name="Shape 14393"/>
                        <wps:cNvSpPr/>
                        <wps:spPr>
                          <a:xfrm>
                            <a:off x="0" y="0"/>
                            <a:ext cx="5715000" cy="12196"/>
                          </a:xfrm>
                          <a:custGeom>
                            <a:avLst/>
                            <a:gdLst/>
                            <a:ahLst/>
                            <a:cxnLst/>
                            <a:rect l="0" t="0" r="0" b="0"/>
                            <a:pathLst>
                              <a:path w="5715000" h="12196">
                                <a:moveTo>
                                  <a:pt x="0" y="6098"/>
                                </a:moveTo>
                                <a:lnTo>
                                  <a:pt x="5715000"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394" style="width:450pt;height:0.960297pt;mso-position-horizontal-relative:char;mso-position-vertical-relative:line" coordsize="57150,121">
                <v:shape id="Shape 14393" style="position:absolute;width:57150;height:121;left:0;top:0;" coordsize="5715000,12196" path="m0,6098l5715000,6098">
                  <v:stroke weight="0.960297pt" endcap="flat" joinstyle="miter" miterlimit="1" on="true" color="#000000"/>
                  <v:fill on="false" color="#000000"/>
                </v:shape>
              </v:group>
            </w:pict>
          </mc:Fallback>
        </mc:AlternateContent>
      </w:r>
    </w:p>
    <w:p w14:paraId="45712194" w14:textId="77777777" w:rsidR="00D71ECE" w:rsidRDefault="00000000" w:rsidP="005074D0">
      <w:pPr>
        <w:spacing w:after="320" w:line="240" w:lineRule="auto"/>
        <w:ind w:left="9" w:right="167"/>
      </w:pPr>
      <w:r>
        <w:t>Further analysis &amp; recommendations:</w:t>
      </w:r>
    </w:p>
    <w:p w14:paraId="20221671" w14:textId="77777777" w:rsidR="00D71ECE" w:rsidRDefault="00000000" w:rsidP="005074D0">
      <w:pPr>
        <w:spacing w:line="240" w:lineRule="auto"/>
        <w:ind w:left="9" w:right="167"/>
      </w:pPr>
      <w:r>
        <w:t>1. Factors Influencing Repeat Passenger Rates</w:t>
      </w:r>
    </w:p>
    <w:p w14:paraId="56C3A133" w14:textId="064AB226" w:rsidR="00D71ECE" w:rsidRDefault="00000000" w:rsidP="005074D0">
      <w:pPr>
        <w:spacing w:after="663" w:line="240" w:lineRule="auto"/>
        <w:ind w:left="720" w:right="34" w:hanging="356"/>
      </w:pPr>
      <w:r>
        <w:rPr>
          <w:noProof/>
        </w:rPr>
        <w:drawing>
          <wp:inline distT="0" distB="0" distL="0" distR="0" wp14:anchorId="7086CE30" wp14:editId="7EA0F774">
            <wp:extent cx="67056" cy="67077"/>
            <wp:effectExtent l="0" t="0" r="0" b="0"/>
            <wp:docPr id="9385" name="Picture 9385"/>
            <wp:cNvGraphicFramePr/>
            <a:graphic xmlns:a="http://schemas.openxmlformats.org/drawingml/2006/main">
              <a:graphicData uri="http://schemas.openxmlformats.org/drawingml/2006/picture">
                <pic:pic xmlns:pic="http://schemas.openxmlformats.org/drawingml/2006/picture">
                  <pic:nvPicPr>
                    <pic:cNvPr id="9385" name="Picture 9385"/>
                    <pic:cNvPicPr/>
                  </pic:nvPicPr>
                  <pic:blipFill>
                    <a:blip r:embed="rId9"/>
                    <a:stretch>
                      <a:fillRect/>
                    </a:stretch>
                  </pic:blipFill>
                  <pic:spPr>
                    <a:xfrm>
                      <a:off x="0" y="0"/>
                      <a:ext cx="67056" cy="67077"/>
                    </a:xfrm>
                    <a:prstGeom prst="rect">
                      <a:avLst/>
                    </a:prstGeom>
                  </pic:spPr>
                </pic:pic>
              </a:graphicData>
            </a:graphic>
          </wp:inline>
        </w:drawing>
      </w:r>
      <w:r>
        <w:rPr>
          <w:sz w:val="26"/>
        </w:rPr>
        <w:t xml:space="preserve"> </w:t>
      </w:r>
      <w:r w:rsidR="005074D0">
        <w:rPr>
          <w:sz w:val="26"/>
        </w:rPr>
        <w:tab/>
      </w:r>
      <w:r w:rsidRPr="00824E8C">
        <w:t>What factors (such as quality of service, competitive pricing, or city demographics) might contribute to higher or lower repeat passenger rates in different cities? Are there correlations with socioeconomic or lifestyle patterns in these cities?</w:t>
      </w:r>
    </w:p>
    <w:p w14:paraId="2A0C0B8D" w14:textId="77777777" w:rsidR="00D71ECE" w:rsidRDefault="00000000" w:rsidP="005074D0">
      <w:pPr>
        <w:pStyle w:val="Heading1"/>
        <w:spacing w:line="240" w:lineRule="auto"/>
        <w:ind w:left="274" w:hanging="269"/>
      </w:pPr>
      <w:r>
        <w:t>Tourism vs. Business Demand Impact</w:t>
      </w:r>
    </w:p>
    <w:p w14:paraId="2B23FAE3" w14:textId="6ECF5759" w:rsidR="00D71ECE" w:rsidRDefault="00000000" w:rsidP="005074D0">
      <w:pPr>
        <w:pStyle w:val="ListParagraph"/>
        <w:numPr>
          <w:ilvl w:val="0"/>
          <w:numId w:val="5"/>
        </w:numPr>
        <w:spacing w:line="240" w:lineRule="auto"/>
        <w:ind w:right="706"/>
      </w:pPr>
      <w:r>
        <w:t>How do tourism seasons or local events (festivals, conferences) impact Goodcabs' demand patterns? Would tailoring marketing efforts to these events increase trip volume in tourism-oriented cities?</w:t>
      </w:r>
    </w:p>
    <w:p w14:paraId="3603B0B8" w14:textId="77777777" w:rsidR="005074D0" w:rsidRDefault="005074D0" w:rsidP="005074D0">
      <w:pPr>
        <w:spacing w:line="240" w:lineRule="auto"/>
        <w:ind w:right="706"/>
      </w:pPr>
    </w:p>
    <w:p w14:paraId="1E5CA810" w14:textId="7AA1065C" w:rsidR="00D71ECE" w:rsidRDefault="00000000" w:rsidP="005074D0">
      <w:pPr>
        <w:numPr>
          <w:ilvl w:val="0"/>
          <w:numId w:val="3"/>
        </w:numPr>
        <w:spacing w:after="649" w:line="240" w:lineRule="auto"/>
        <w:ind w:right="167" w:hanging="283"/>
      </w:pPr>
      <w:r>
        <w:rPr>
          <w:sz w:val="26"/>
        </w:rPr>
        <w:t>Emerging Mobility Trends and Goodcabs' Adaptation o What emerging mobility trends (such as electric vehicle adoption, green energy use) are impacting the cab service market in tier-2 cities? Should Goodcabs consider integrating electric vehicles or eco-friendly initiatives to stay competitive?</w:t>
      </w:r>
    </w:p>
    <w:p w14:paraId="63A8403B" w14:textId="77777777" w:rsidR="00D71ECE" w:rsidRDefault="00000000" w:rsidP="005074D0">
      <w:pPr>
        <w:numPr>
          <w:ilvl w:val="0"/>
          <w:numId w:val="3"/>
        </w:numPr>
        <w:spacing w:line="240" w:lineRule="auto"/>
        <w:ind w:right="167" w:hanging="283"/>
      </w:pPr>
      <w:r>
        <w:t>Partnership Opportunities with Local Businesses</w:t>
      </w:r>
    </w:p>
    <w:p w14:paraId="48B51025" w14:textId="77777777" w:rsidR="00D71ECE" w:rsidRDefault="00000000" w:rsidP="005074D0">
      <w:pPr>
        <w:numPr>
          <w:ilvl w:val="1"/>
          <w:numId w:val="3"/>
        </w:numPr>
        <w:spacing w:after="650" w:line="240" w:lineRule="auto"/>
        <w:ind w:right="127" w:hanging="341"/>
      </w:pPr>
      <w:r>
        <w:rPr>
          <w:sz w:val="26"/>
        </w:rPr>
        <w:lastRenderedPageBreak/>
        <w:t>Are there opportunities for Goodcabs to partner with local businesses (such as hotels, malls, or event venues) to boost demand and improve customer loyalty? Could these partnerships drive more traffic, especially in tou rismheavy or high-footfall areas?</w:t>
      </w:r>
    </w:p>
    <w:p w14:paraId="653926D1" w14:textId="77777777" w:rsidR="00D71ECE" w:rsidRDefault="00000000" w:rsidP="005074D0">
      <w:pPr>
        <w:numPr>
          <w:ilvl w:val="0"/>
          <w:numId w:val="3"/>
        </w:numPr>
        <w:spacing w:line="240" w:lineRule="auto"/>
        <w:ind w:right="167" w:hanging="283"/>
      </w:pPr>
      <w:r>
        <w:t>Data Collection for Enhanced Data-Driven Decisions</w:t>
      </w:r>
    </w:p>
    <w:p w14:paraId="5C9315C9" w14:textId="77777777" w:rsidR="00D71ECE" w:rsidRDefault="00000000" w:rsidP="005074D0">
      <w:pPr>
        <w:numPr>
          <w:ilvl w:val="1"/>
          <w:numId w:val="3"/>
        </w:numPr>
        <w:spacing w:after="190" w:line="240" w:lineRule="auto"/>
        <w:ind w:right="127" w:hanging="341"/>
      </w:pPr>
      <w:r>
        <w:rPr>
          <w:sz w:val="26"/>
        </w:rPr>
        <w:t>To make Goodcabs more data-driven and improve its performance across key metrics (such as repeat passenger rate, customer satisfaction, new passengers and trip volume), what additional data should Goodcabs collect? Consider data that could provide deeper insights into customer behaviour, operational efficiency, and market trends.</w:t>
      </w:r>
    </w:p>
    <w:p w14:paraId="11B7B583" w14:textId="77777777" w:rsidR="00D71ECE" w:rsidRDefault="00000000" w:rsidP="005074D0">
      <w:pPr>
        <w:spacing w:after="1312" w:line="240" w:lineRule="auto"/>
        <w:jc w:val="left"/>
      </w:pPr>
      <w:r>
        <w:rPr>
          <w:noProof/>
          <w:sz w:val="22"/>
        </w:rPr>
        <mc:AlternateContent>
          <mc:Choice Requires="wpg">
            <w:drawing>
              <wp:inline distT="0" distB="0" distL="0" distR="0" wp14:anchorId="3F5C1FC5" wp14:editId="4C3B985A">
                <wp:extent cx="5032248" cy="12196"/>
                <wp:effectExtent l="0" t="0" r="0" b="0"/>
                <wp:docPr id="14396" name="Group 14396"/>
                <wp:cNvGraphicFramePr/>
                <a:graphic xmlns:a="http://schemas.openxmlformats.org/drawingml/2006/main">
                  <a:graphicData uri="http://schemas.microsoft.com/office/word/2010/wordprocessingGroup">
                    <wpg:wgp>
                      <wpg:cNvGrpSpPr/>
                      <wpg:grpSpPr>
                        <a:xfrm>
                          <a:off x="0" y="0"/>
                          <a:ext cx="5032248" cy="12196"/>
                          <a:chOff x="0" y="0"/>
                          <a:chExt cx="5032248" cy="12196"/>
                        </a:xfrm>
                      </wpg:grpSpPr>
                      <wps:wsp>
                        <wps:cNvPr id="14395" name="Shape 14395"/>
                        <wps:cNvSpPr/>
                        <wps:spPr>
                          <a:xfrm>
                            <a:off x="0" y="0"/>
                            <a:ext cx="5032248" cy="12196"/>
                          </a:xfrm>
                          <a:custGeom>
                            <a:avLst/>
                            <a:gdLst/>
                            <a:ahLst/>
                            <a:cxnLst/>
                            <a:rect l="0" t="0" r="0" b="0"/>
                            <a:pathLst>
                              <a:path w="5032248" h="12196">
                                <a:moveTo>
                                  <a:pt x="0" y="6098"/>
                                </a:moveTo>
                                <a:lnTo>
                                  <a:pt x="5032248"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396" style="width:396.24pt;height:0.960297pt;mso-position-horizontal-relative:char;mso-position-vertical-relative:line" coordsize="50322,121">
                <v:shape id="Shape 14395" style="position:absolute;width:50322;height:121;left:0;top:0;" coordsize="5032248,12196" path="m0,6098l5032248,6098">
                  <v:stroke weight="0.960297pt" endcap="flat" joinstyle="miter" miterlimit="1" on="true" color="#000000"/>
                  <v:fill on="false" color="#000000"/>
                </v:shape>
              </v:group>
            </w:pict>
          </mc:Fallback>
        </mc:AlternateContent>
      </w:r>
    </w:p>
    <w:p w14:paraId="4FBB0EDF" w14:textId="77777777" w:rsidR="00D71ECE" w:rsidRDefault="00000000" w:rsidP="005074D0">
      <w:pPr>
        <w:spacing w:line="240" w:lineRule="auto"/>
        <w:ind w:left="9" w:right="167"/>
      </w:pPr>
      <w:r>
        <w:t>Note: The above questions are intended to jump-start your analysis. You are encouraged to dig deeper and broaden the scope of your analysis to discover even more valuable findings.</w:t>
      </w:r>
    </w:p>
    <w:sectPr w:rsidR="00D71ECE" w:rsidSect="009748DE">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54" w:footer="18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3FCA0" w14:textId="77777777" w:rsidR="00FE4494" w:rsidRDefault="00FE4494">
      <w:pPr>
        <w:spacing w:after="0" w:line="240" w:lineRule="auto"/>
      </w:pPr>
      <w:r>
        <w:separator/>
      </w:r>
    </w:p>
  </w:endnote>
  <w:endnote w:type="continuationSeparator" w:id="0">
    <w:p w14:paraId="1BDF45DB" w14:textId="77777777" w:rsidR="00FE4494" w:rsidRDefault="00FE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AD2A8" w14:textId="77777777" w:rsidR="00D71ECE" w:rsidRDefault="00000000">
    <w:pPr>
      <w:spacing w:after="0" w:line="259" w:lineRule="auto"/>
      <w:ind w:left="0" w:right="-14"/>
      <w:jc w:val="right"/>
    </w:pPr>
    <w:r>
      <w:rPr>
        <w:sz w:val="30"/>
      </w:rPr>
      <w:t>codebasics.io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9EC5A" w14:textId="77777777" w:rsidR="00D71ECE" w:rsidRDefault="00000000">
    <w:pPr>
      <w:spacing w:after="0" w:line="259" w:lineRule="auto"/>
      <w:ind w:left="0" w:right="-14"/>
      <w:jc w:val="right"/>
    </w:pPr>
    <w:r>
      <w:rPr>
        <w:sz w:val="30"/>
      </w:rPr>
      <w:t>codebasics.io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B986A" w14:textId="77777777" w:rsidR="00D71ECE" w:rsidRDefault="00000000">
    <w:pPr>
      <w:spacing w:after="0" w:line="259" w:lineRule="auto"/>
      <w:ind w:left="0" w:right="-14"/>
      <w:jc w:val="right"/>
    </w:pPr>
    <w:r>
      <w:rPr>
        <w:sz w:val="30"/>
      </w:rPr>
      <w:t>codebasics.io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DCACB" w14:textId="77777777" w:rsidR="00FE4494" w:rsidRDefault="00FE4494">
      <w:pPr>
        <w:spacing w:after="0" w:line="240" w:lineRule="auto"/>
      </w:pPr>
      <w:r>
        <w:separator/>
      </w:r>
    </w:p>
  </w:footnote>
  <w:footnote w:type="continuationSeparator" w:id="0">
    <w:p w14:paraId="0C9FEFED" w14:textId="77777777" w:rsidR="00FE4494" w:rsidRDefault="00FE4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60B1" w14:textId="77777777" w:rsidR="00D71ECE" w:rsidRDefault="00000000">
    <w:pPr>
      <w:spacing w:after="0" w:line="259" w:lineRule="auto"/>
      <w:ind w:left="0" w:right="58"/>
      <w:jc w:val="right"/>
    </w:pPr>
    <w:r>
      <w:rPr>
        <w:sz w:val="70"/>
      </w:rPr>
      <w:t xml:space="preserve">e </w:t>
    </w:r>
    <w:r>
      <w:rPr>
        <w:sz w:val="46"/>
      </w:rPr>
      <w:t>ODE</w:t>
    </w:r>
  </w:p>
  <w:p w14:paraId="3AF12CA9" w14:textId="77777777" w:rsidR="00D71ECE" w:rsidRDefault="00000000">
    <w:pPr>
      <w:spacing w:after="0" w:line="259" w:lineRule="auto"/>
      <w:ind w:left="0" w:right="106"/>
      <w:jc w:val="right"/>
    </w:pPr>
    <w:r>
      <w:rPr>
        <w:sz w:val="36"/>
      </w:rPr>
      <w:t>B A S I C 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2F191" w14:textId="77777777" w:rsidR="00D71ECE" w:rsidRDefault="00000000">
    <w:pPr>
      <w:spacing w:after="0" w:line="259" w:lineRule="auto"/>
      <w:ind w:left="0" w:right="58"/>
      <w:jc w:val="right"/>
    </w:pPr>
    <w:r>
      <w:rPr>
        <w:sz w:val="70"/>
      </w:rPr>
      <w:t xml:space="preserve">e </w:t>
    </w:r>
    <w:r>
      <w:rPr>
        <w:sz w:val="46"/>
      </w:rPr>
      <w:t>ODE</w:t>
    </w:r>
  </w:p>
  <w:p w14:paraId="2B2A2796" w14:textId="77777777" w:rsidR="00D71ECE" w:rsidRDefault="00000000">
    <w:pPr>
      <w:spacing w:after="0" w:line="259" w:lineRule="auto"/>
      <w:ind w:left="0" w:right="106"/>
      <w:jc w:val="right"/>
    </w:pPr>
    <w:r>
      <w:rPr>
        <w:sz w:val="36"/>
      </w:rPr>
      <w:t>B A S I C 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05AA6" w14:textId="77777777" w:rsidR="00D71ECE" w:rsidRDefault="00000000">
    <w:pPr>
      <w:spacing w:after="0" w:line="259" w:lineRule="auto"/>
      <w:ind w:left="0" w:right="58"/>
      <w:jc w:val="right"/>
    </w:pPr>
    <w:r>
      <w:rPr>
        <w:sz w:val="70"/>
      </w:rPr>
      <w:t xml:space="preserve">e </w:t>
    </w:r>
    <w:r>
      <w:rPr>
        <w:sz w:val="46"/>
      </w:rPr>
      <w:t>ODE</w:t>
    </w:r>
  </w:p>
  <w:p w14:paraId="0AB26029" w14:textId="77777777" w:rsidR="00D71ECE" w:rsidRDefault="00000000">
    <w:pPr>
      <w:spacing w:after="0" w:line="259" w:lineRule="auto"/>
      <w:ind w:left="0" w:right="106"/>
      <w:jc w:val="right"/>
    </w:pPr>
    <w:r>
      <w:rPr>
        <w:sz w:val="36"/>
      </w:rPr>
      <w:t>B A S I C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36" style="width:7.8pt;height:7.8pt" coordsize="" o:spt="100" o:bullet="t" adj="0,,0" path="" stroked="f">
        <v:stroke joinstyle="miter"/>
        <v:imagedata r:id="rId1" o:title="image11"/>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6.8pt;height:16.8pt;visibility:visible;mso-wrap-style:square" o:bullet="t">
        <v:imagedata r:id="rId2" o:title=""/>
      </v:shape>
    </w:pict>
  </w:numPicBullet>
  <w:abstractNum w:abstractNumId="0" w15:restartNumberingAfterBreak="0">
    <w:nsid w:val="082531E6"/>
    <w:multiLevelType w:val="hybridMultilevel"/>
    <w:tmpl w:val="F0405A6A"/>
    <w:lvl w:ilvl="0" w:tplc="0010AD7E">
      <w:start w:val="3"/>
      <w:numFmt w:val="decimal"/>
      <w:lvlText w:val="%1."/>
      <w:lvlJc w:val="left"/>
      <w:pPr>
        <w:ind w:left="2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52E5FA">
      <w:start w:val="1"/>
      <w:numFmt w:val="bullet"/>
      <w:lvlText w:val="•"/>
      <w:lvlJc w:val="left"/>
      <w:pPr>
        <w:ind w:left="7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C968EA0">
      <w:start w:val="1"/>
      <w:numFmt w:val="bullet"/>
      <w:lvlText w:val="▪"/>
      <w:lvlJc w:val="left"/>
      <w:pPr>
        <w:ind w:left="145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EC268CA">
      <w:start w:val="1"/>
      <w:numFmt w:val="bullet"/>
      <w:lvlText w:val="•"/>
      <w:lvlJc w:val="left"/>
      <w:pPr>
        <w:ind w:left="217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F7E3340">
      <w:start w:val="1"/>
      <w:numFmt w:val="bullet"/>
      <w:lvlText w:val="o"/>
      <w:lvlJc w:val="left"/>
      <w:pPr>
        <w:ind w:left="289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3ECB54C">
      <w:start w:val="1"/>
      <w:numFmt w:val="bullet"/>
      <w:lvlText w:val="▪"/>
      <w:lvlJc w:val="left"/>
      <w:pPr>
        <w:ind w:left="361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0EE3B1A">
      <w:start w:val="1"/>
      <w:numFmt w:val="bullet"/>
      <w:lvlText w:val="•"/>
      <w:lvlJc w:val="left"/>
      <w:pPr>
        <w:ind w:left="433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9E4081B6">
      <w:start w:val="1"/>
      <w:numFmt w:val="bullet"/>
      <w:lvlText w:val="o"/>
      <w:lvlJc w:val="left"/>
      <w:pPr>
        <w:ind w:left="505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3E43F9A">
      <w:start w:val="1"/>
      <w:numFmt w:val="bullet"/>
      <w:lvlText w:val="▪"/>
      <w:lvlJc w:val="left"/>
      <w:pPr>
        <w:ind w:left="577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C301D7B"/>
    <w:multiLevelType w:val="hybridMultilevel"/>
    <w:tmpl w:val="8032829C"/>
    <w:lvl w:ilvl="0" w:tplc="00180018">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0BEE99A">
      <w:start w:val="1"/>
      <w:numFmt w:val="bullet"/>
      <w:lvlText w:val="o"/>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166F8F0">
      <w:start w:val="1"/>
      <w:numFmt w:val="bullet"/>
      <w:lvlRestart w:val="0"/>
      <w:lvlText w:val="•"/>
      <w:lvlPicBulletId w:val="0"/>
      <w:lvlJc w:val="left"/>
      <w:pPr>
        <w:ind w:left="72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C92BE1E">
      <w:start w:val="1"/>
      <w:numFmt w:val="bullet"/>
      <w:lvlText w:val="•"/>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16B44726">
      <w:start w:val="1"/>
      <w:numFmt w:val="bullet"/>
      <w:lvlText w:val="o"/>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A10E826">
      <w:start w:val="1"/>
      <w:numFmt w:val="bullet"/>
      <w:lvlText w:val="▪"/>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F92C3AC">
      <w:start w:val="1"/>
      <w:numFmt w:val="bullet"/>
      <w:lvlText w:val="•"/>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50B6EA96">
      <w:start w:val="1"/>
      <w:numFmt w:val="bullet"/>
      <w:lvlText w:val="o"/>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04FCA444">
      <w:start w:val="1"/>
      <w:numFmt w:val="bullet"/>
      <w:lvlText w:val="▪"/>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61F65BF0"/>
    <w:multiLevelType w:val="hybridMultilevel"/>
    <w:tmpl w:val="C5A250E4"/>
    <w:lvl w:ilvl="0" w:tplc="BB8A4E7A">
      <w:start w:val="2"/>
      <w:numFmt w:val="decimal"/>
      <w:pStyle w:val="Heading1"/>
      <w:lvlText w:val="%1."/>
      <w:lvlJc w:val="left"/>
      <w:pPr>
        <w:ind w:left="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1421CA6">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E46A8CC">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97E2AAE">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DA6E364">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02EB032">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828982C">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604A57FC">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D24A07FC">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B9C1D37"/>
    <w:multiLevelType w:val="hybridMultilevel"/>
    <w:tmpl w:val="0FFA3DAC"/>
    <w:lvl w:ilvl="0" w:tplc="6E3E9DFE">
      <w:start w:val="1"/>
      <w:numFmt w:val="decimal"/>
      <w:lvlText w:val="%1."/>
      <w:lvlJc w:val="left"/>
      <w:pPr>
        <w:ind w:left="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D0648F4">
      <w:start w:val="1"/>
      <w:numFmt w:val="bullet"/>
      <w:lvlText w:val="•"/>
      <w:lvlJc w:val="left"/>
      <w:pPr>
        <w:ind w:left="73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CB2B592">
      <w:start w:val="1"/>
      <w:numFmt w:val="bullet"/>
      <w:lvlText w:val="▪"/>
      <w:lvlJc w:val="left"/>
      <w:pPr>
        <w:ind w:left="145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CA871D6">
      <w:start w:val="1"/>
      <w:numFmt w:val="bullet"/>
      <w:lvlText w:val="•"/>
      <w:lvlJc w:val="left"/>
      <w:pPr>
        <w:ind w:left="217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E387686">
      <w:start w:val="1"/>
      <w:numFmt w:val="bullet"/>
      <w:lvlText w:val="o"/>
      <w:lvlJc w:val="left"/>
      <w:pPr>
        <w:ind w:left="289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B4E27EC">
      <w:start w:val="1"/>
      <w:numFmt w:val="bullet"/>
      <w:lvlText w:val="▪"/>
      <w:lvlJc w:val="left"/>
      <w:pPr>
        <w:ind w:left="361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28A4F02">
      <w:start w:val="1"/>
      <w:numFmt w:val="bullet"/>
      <w:lvlText w:val="•"/>
      <w:lvlJc w:val="left"/>
      <w:pPr>
        <w:ind w:left="433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F266B72">
      <w:start w:val="1"/>
      <w:numFmt w:val="bullet"/>
      <w:lvlText w:val="o"/>
      <w:lvlJc w:val="left"/>
      <w:pPr>
        <w:ind w:left="505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566D7BC">
      <w:start w:val="1"/>
      <w:numFmt w:val="bullet"/>
      <w:lvlText w:val="▪"/>
      <w:lvlJc w:val="left"/>
      <w:pPr>
        <w:ind w:left="577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78302B15"/>
    <w:multiLevelType w:val="hybridMultilevel"/>
    <w:tmpl w:val="FBA0E146"/>
    <w:lvl w:ilvl="0" w:tplc="FF2CECB6">
      <w:start w:val="1"/>
      <w:numFmt w:val="bullet"/>
      <w:lvlText w:val=""/>
      <w:lvlPicBulletId w:val="1"/>
      <w:lvlJc w:val="left"/>
      <w:pPr>
        <w:tabs>
          <w:tab w:val="num" w:pos="720"/>
        </w:tabs>
        <w:ind w:left="720" w:hanging="360"/>
      </w:pPr>
      <w:rPr>
        <w:rFonts w:ascii="Symbol" w:hAnsi="Symbol" w:hint="default"/>
      </w:rPr>
    </w:lvl>
    <w:lvl w:ilvl="1" w:tplc="B3B244B6" w:tentative="1">
      <w:start w:val="1"/>
      <w:numFmt w:val="bullet"/>
      <w:lvlText w:val=""/>
      <w:lvlJc w:val="left"/>
      <w:pPr>
        <w:tabs>
          <w:tab w:val="num" w:pos="1440"/>
        </w:tabs>
        <w:ind w:left="1440" w:hanging="360"/>
      </w:pPr>
      <w:rPr>
        <w:rFonts w:ascii="Symbol" w:hAnsi="Symbol" w:hint="default"/>
      </w:rPr>
    </w:lvl>
    <w:lvl w:ilvl="2" w:tplc="8D240ABA" w:tentative="1">
      <w:start w:val="1"/>
      <w:numFmt w:val="bullet"/>
      <w:lvlText w:val=""/>
      <w:lvlJc w:val="left"/>
      <w:pPr>
        <w:tabs>
          <w:tab w:val="num" w:pos="2160"/>
        </w:tabs>
        <w:ind w:left="2160" w:hanging="360"/>
      </w:pPr>
      <w:rPr>
        <w:rFonts w:ascii="Symbol" w:hAnsi="Symbol" w:hint="default"/>
      </w:rPr>
    </w:lvl>
    <w:lvl w:ilvl="3" w:tplc="DFC05050" w:tentative="1">
      <w:start w:val="1"/>
      <w:numFmt w:val="bullet"/>
      <w:lvlText w:val=""/>
      <w:lvlJc w:val="left"/>
      <w:pPr>
        <w:tabs>
          <w:tab w:val="num" w:pos="2880"/>
        </w:tabs>
        <w:ind w:left="2880" w:hanging="360"/>
      </w:pPr>
      <w:rPr>
        <w:rFonts w:ascii="Symbol" w:hAnsi="Symbol" w:hint="default"/>
      </w:rPr>
    </w:lvl>
    <w:lvl w:ilvl="4" w:tplc="A6D6029C" w:tentative="1">
      <w:start w:val="1"/>
      <w:numFmt w:val="bullet"/>
      <w:lvlText w:val=""/>
      <w:lvlJc w:val="left"/>
      <w:pPr>
        <w:tabs>
          <w:tab w:val="num" w:pos="3600"/>
        </w:tabs>
        <w:ind w:left="3600" w:hanging="360"/>
      </w:pPr>
      <w:rPr>
        <w:rFonts w:ascii="Symbol" w:hAnsi="Symbol" w:hint="default"/>
      </w:rPr>
    </w:lvl>
    <w:lvl w:ilvl="5" w:tplc="70D4E192" w:tentative="1">
      <w:start w:val="1"/>
      <w:numFmt w:val="bullet"/>
      <w:lvlText w:val=""/>
      <w:lvlJc w:val="left"/>
      <w:pPr>
        <w:tabs>
          <w:tab w:val="num" w:pos="4320"/>
        </w:tabs>
        <w:ind w:left="4320" w:hanging="360"/>
      </w:pPr>
      <w:rPr>
        <w:rFonts w:ascii="Symbol" w:hAnsi="Symbol" w:hint="default"/>
      </w:rPr>
    </w:lvl>
    <w:lvl w:ilvl="6" w:tplc="644AF590" w:tentative="1">
      <w:start w:val="1"/>
      <w:numFmt w:val="bullet"/>
      <w:lvlText w:val=""/>
      <w:lvlJc w:val="left"/>
      <w:pPr>
        <w:tabs>
          <w:tab w:val="num" w:pos="5040"/>
        </w:tabs>
        <w:ind w:left="5040" w:hanging="360"/>
      </w:pPr>
      <w:rPr>
        <w:rFonts w:ascii="Symbol" w:hAnsi="Symbol" w:hint="default"/>
      </w:rPr>
    </w:lvl>
    <w:lvl w:ilvl="7" w:tplc="2AF8E27A" w:tentative="1">
      <w:start w:val="1"/>
      <w:numFmt w:val="bullet"/>
      <w:lvlText w:val=""/>
      <w:lvlJc w:val="left"/>
      <w:pPr>
        <w:tabs>
          <w:tab w:val="num" w:pos="5760"/>
        </w:tabs>
        <w:ind w:left="5760" w:hanging="360"/>
      </w:pPr>
      <w:rPr>
        <w:rFonts w:ascii="Symbol" w:hAnsi="Symbol" w:hint="default"/>
      </w:rPr>
    </w:lvl>
    <w:lvl w:ilvl="8" w:tplc="F026967A" w:tentative="1">
      <w:start w:val="1"/>
      <w:numFmt w:val="bullet"/>
      <w:lvlText w:val=""/>
      <w:lvlJc w:val="left"/>
      <w:pPr>
        <w:tabs>
          <w:tab w:val="num" w:pos="6480"/>
        </w:tabs>
        <w:ind w:left="6480" w:hanging="360"/>
      </w:pPr>
      <w:rPr>
        <w:rFonts w:ascii="Symbol" w:hAnsi="Symbol" w:hint="default"/>
      </w:rPr>
    </w:lvl>
  </w:abstractNum>
  <w:num w:numId="1" w16cid:durableId="165363653">
    <w:abstractNumId w:val="3"/>
  </w:num>
  <w:num w:numId="2" w16cid:durableId="1844780109">
    <w:abstractNumId w:val="1"/>
  </w:num>
  <w:num w:numId="3" w16cid:durableId="1778987844">
    <w:abstractNumId w:val="0"/>
  </w:num>
  <w:num w:numId="4" w16cid:durableId="1577399372">
    <w:abstractNumId w:val="2"/>
  </w:num>
  <w:num w:numId="5" w16cid:durableId="413862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CE"/>
    <w:rsid w:val="00026F68"/>
    <w:rsid w:val="00153C5E"/>
    <w:rsid w:val="00205B02"/>
    <w:rsid w:val="00284A27"/>
    <w:rsid w:val="002E3309"/>
    <w:rsid w:val="00423CEB"/>
    <w:rsid w:val="004B04B2"/>
    <w:rsid w:val="004C6DED"/>
    <w:rsid w:val="005074D0"/>
    <w:rsid w:val="0053351E"/>
    <w:rsid w:val="00643BA0"/>
    <w:rsid w:val="006E3EC9"/>
    <w:rsid w:val="007912D0"/>
    <w:rsid w:val="00824E8C"/>
    <w:rsid w:val="009748DE"/>
    <w:rsid w:val="009A2E83"/>
    <w:rsid w:val="00A24FB7"/>
    <w:rsid w:val="00AB47DE"/>
    <w:rsid w:val="00AE5AD7"/>
    <w:rsid w:val="00C12F07"/>
    <w:rsid w:val="00C468BD"/>
    <w:rsid w:val="00CA5A54"/>
    <w:rsid w:val="00CC3591"/>
    <w:rsid w:val="00D71ECE"/>
    <w:rsid w:val="00D91674"/>
    <w:rsid w:val="00D9359D"/>
    <w:rsid w:val="00F34D39"/>
    <w:rsid w:val="00F63472"/>
    <w:rsid w:val="00FE4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1493D"/>
  <w15:docId w15:val="{183DBAA7-F066-46D8-9DC2-ECE8D545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5"/>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numPr>
        <w:numId w:val="4"/>
      </w:numPr>
      <w:spacing w:after="0"/>
      <w:ind w:left="5"/>
      <w:outlineLvl w:val="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07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7bda0da2-7ce0-4659-9899-8c9f8e276dde</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7bda0da2-7ce0-4659-9899-8c9f8e276dde</dc:title>
  <dc:subject/>
  <dc:creator>Kirandeep Marala</dc:creator>
  <cp:keywords/>
  <cp:lastModifiedBy>Vkas Rajpurohit</cp:lastModifiedBy>
  <cp:revision>9</cp:revision>
  <dcterms:created xsi:type="dcterms:W3CDTF">2024-11-16T23:01:00Z</dcterms:created>
  <dcterms:modified xsi:type="dcterms:W3CDTF">2024-11-30T19:35:00Z</dcterms:modified>
</cp:coreProperties>
</file>