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9F3404" w:rsidRDefault="00567E1E" w:rsidP="009F3404">
      <w:pPr>
        <w:pStyle w:val="PlainText"/>
        <w:rPr>
          <w:rFonts w:ascii="Courier New" w:hAnsi="Courier New" w:cs="Courier New"/>
        </w:rPr>
      </w:pPr>
      <w:bookmarkStart w:id="0" w:name="_GoBack"/>
      <w:bookmarkEnd w:id="0"/>
      <w:r w:rsidRPr="009F3404">
        <w:rPr>
          <w:rFonts w:ascii="Courier New" w:hAnsi="Courier New" w:cs="Courier New"/>
        </w:rPr>
        <w:t>Meeting Title: Project Helios - Core Platform Knowledge Transfer</w:t>
      </w:r>
    </w:p>
    <w:p w:rsidR="00000000" w:rsidRPr="009F3404" w:rsidRDefault="00567E1E" w:rsidP="009F3404">
      <w:pPr>
        <w:pStyle w:val="PlainText"/>
        <w:rPr>
          <w:rFonts w:ascii="Courier New" w:hAnsi="Courier New" w:cs="Courier New"/>
        </w:rPr>
      </w:pPr>
      <w:r w:rsidRPr="009F3404">
        <w:rPr>
          <w:rFonts w:ascii="Courier New" w:hAnsi="Courier New" w:cs="Courier New"/>
        </w:rPr>
        <w:t>Date: November 2, 2023</w:t>
      </w:r>
    </w:p>
    <w:p w:rsidR="00000000" w:rsidRPr="009F3404" w:rsidRDefault="00567E1E" w:rsidP="009F3404">
      <w:pPr>
        <w:pStyle w:val="PlainText"/>
        <w:rPr>
          <w:rFonts w:ascii="Courier New" w:hAnsi="Courier New" w:cs="Courier New"/>
        </w:rPr>
      </w:pPr>
      <w:r w:rsidRPr="009F3404">
        <w:rPr>
          <w:rFonts w:ascii="Courier New" w:hAnsi="Courier New" w:cs="Courier New"/>
        </w:rPr>
        <w:t>Time: 10:00 AM - 11:05 AM</w:t>
      </w:r>
    </w:p>
    <w:p w:rsidR="00000000" w:rsidRPr="009F3404" w:rsidRDefault="00567E1E" w:rsidP="009F3404">
      <w:pPr>
        <w:pStyle w:val="PlainText"/>
        <w:rPr>
          <w:rFonts w:ascii="Courier New" w:hAnsi="Courier New" w:cs="Courier New"/>
        </w:rPr>
      </w:pPr>
      <w:r w:rsidRPr="009F3404">
        <w:rPr>
          <w:rFonts w:ascii="Courier New" w:hAnsi="Courier New" w:cs="Courier New"/>
        </w:rPr>
        <w:t>Participants:</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Priya Sharma (PS) - Engineering Manager (Host)</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Marcus Lee (ML) - Senior Platform Architect (Outgoing)</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Anya Petrova (</w:t>
      </w:r>
      <w:r w:rsidRPr="009F3404">
        <w:rPr>
          <w:rFonts w:ascii="Courier New" w:hAnsi="Courier New" w:cs="Courier New"/>
        </w:rPr>
        <w:t>AP) - Incoming Platform Lead</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Leo Torres (LT) - Security &amp; QA Lead</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Chloe Bennett (CB) - Cloud Infrastructure Lead</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Rohan Kapoor (RK) - Head of Product</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Elena Silva (ES) - Data Engineer</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Ian Foster (IF) - Site Reliability Engineer</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[10:00:00] P</w:t>
      </w:r>
      <w:r w:rsidRPr="009F3404">
        <w:rPr>
          <w:rFonts w:ascii="Courier New" w:hAnsi="Courier New" w:cs="Courier New"/>
        </w:rPr>
        <w:t>riya Sharma:</w:t>
      </w:r>
    </w:p>
    <w:p w:rsidR="00000000" w:rsidRPr="009F3404" w:rsidRDefault="00567E1E" w:rsidP="009F3404">
      <w:pPr>
        <w:pStyle w:val="PlainText"/>
        <w:rPr>
          <w:rFonts w:ascii="Courier New" w:hAnsi="Courier New" w:cs="Courier New"/>
        </w:rPr>
      </w:pPr>
      <w:r w:rsidRPr="009F3404">
        <w:rPr>
          <w:rFonts w:ascii="Courier New" w:hAnsi="Courier New" w:cs="Courier New"/>
        </w:rPr>
        <w:t>Good morning, everyone. Thanks for joining. As Marcus transitions to our new AI initiatives, this session is to transfer deep platform ownership of Project Helios to Anya. Marcus has prepared extensively. Marcus, you have the floor.</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[10:01</w:t>
      </w:r>
      <w:r w:rsidRPr="009F3404">
        <w:rPr>
          <w:rFonts w:ascii="Courier New" w:hAnsi="Courier New" w:cs="Courier New"/>
        </w:rPr>
        <w:t>:20]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Thank you, Priya. Welcome, Anya, and hello team. Project Helios is our centralized customer intelligence platform. Its objective is to unify real-time behavioral data from six disparate sources—web, mobile app, partner APIs, support ticke</w:t>
      </w:r>
      <w:r w:rsidRPr="009F3404">
        <w:rPr>
          <w:rFonts w:ascii="Courier New" w:hAnsi="Courier New" w:cs="Courier New"/>
        </w:rPr>
        <w:t>ts, transaction logs, and IoT streams—into a single, queryable customer profile. The business benefit is enabling hyper-personalized engagement with sub-second latency.</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[10:03:00] Rohan Kapoor:</w:t>
      </w:r>
    </w:p>
    <w:p w:rsidR="00000000" w:rsidRPr="009F3404" w:rsidRDefault="00567E1E" w:rsidP="009F3404">
      <w:pPr>
        <w:pStyle w:val="PlainText"/>
        <w:rPr>
          <w:rFonts w:ascii="Courier New" w:hAnsi="Courier New" w:cs="Courier New"/>
        </w:rPr>
      </w:pPr>
      <w:r w:rsidRPr="009F3404">
        <w:rPr>
          <w:rFonts w:ascii="Courier New" w:hAnsi="Courier New" w:cs="Courier New"/>
        </w:rPr>
        <w:t>To quantify that, before Helios, building a 360-degree cus</w:t>
      </w:r>
      <w:r w:rsidRPr="009F3404">
        <w:rPr>
          <w:rFonts w:ascii="Courier New" w:hAnsi="Courier New" w:cs="Courier New"/>
        </w:rPr>
        <w:t>tomer view for a campaign took data engineering 3-5 days. Now, product teams can query it directly via GraphQL in under 500 milliseconds. This has reduced campaign launch cycles by 70%.</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[10:04:15]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Exactly. Now, let's dive into the architect</w:t>
      </w:r>
      <w:r w:rsidRPr="009F3404">
        <w:rPr>
          <w:rFonts w:ascii="Courier New" w:hAnsi="Courier New" w:cs="Courier New"/>
        </w:rPr>
        <w:t>ure. I'm sharing my screen.</w:t>
      </w:r>
    </w:p>
    <w:p w:rsidR="00000000" w:rsidRPr="009F3404" w:rsidRDefault="00567E1E" w:rsidP="009F3404">
      <w:pPr>
        <w:pStyle w:val="PlainText"/>
        <w:rPr>
          <w:rFonts w:ascii="Courier New" w:hAnsi="Courier New" w:cs="Courier New"/>
        </w:rPr>
      </w:pPr>
      <w:r w:rsidRPr="009F3404">
        <w:rPr>
          <w:rFonts w:ascii="Courier New" w:hAnsi="Courier New" w:cs="Courier New"/>
        </w:rPr>
        <w:t>Marcus Lee shares screen - A complex architectural diagram is visible in PowerPoint.</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[10:04:45]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 xml:space="preserve">This is from the master "Helios_Platform_Architecture_v4.0.pptx". The system is built on a lambda architecture. We </w:t>
      </w:r>
      <w:r w:rsidRPr="009F3404">
        <w:rPr>
          <w:rFonts w:ascii="Courier New" w:hAnsi="Courier New" w:cs="Courier New"/>
        </w:rPr>
        <w:t>have a hot path for real-time processing using Apache Flink, and a cold/batch path for historical reprocessing and machine learning feature generation using Spark on Databricks. The critical integration point is the Profile Merger Service, which handles co</w:t>
      </w:r>
      <w:r w:rsidRPr="009F3404">
        <w:rPr>
          <w:rFonts w:ascii="Courier New" w:hAnsi="Courier New" w:cs="Courier New"/>
        </w:rPr>
        <w:t>nflicting data from different sources based on our precedence rules.</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[10:06:30] Anya Petrova:</w:t>
      </w:r>
    </w:p>
    <w:p w:rsidR="00000000" w:rsidRPr="009F3404" w:rsidRDefault="00567E1E" w:rsidP="009F3404">
      <w:pPr>
        <w:pStyle w:val="PlainText"/>
        <w:rPr>
          <w:rFonts w:ascii="Courier New" w:hAnsi="Courier New" w:cs="Courier New"/>
        </w:rPr>
      </w:pPr>
      <w:r w:rsidRPr="009F3404">
        <w:rPr>
          <w:rFonts w:ascii="Courier New" w:hAnsi="Courier New" w:cs="Courier New"/>
        </w:rPr>
        <w:t>On slide 8, the diagram shows the "Rules Engine" feeding the Profile Merger. Where is the logic for data conflict resolution defined? Is it in the service cod</w:t>
      </w:r>
      <w:r w:rsidRPr="009F3404">
        <w:rPr>
          <w:rFonts w:ascii="Courier New" w:hAnsi="Courier New" w:cs="Courier New"/>
        </w:rPr>
        <w:t>e?</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[10:07:05]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Crucial question. It is not in the code. All business logic for data merging, field-level precedence, and customer identity resolution is exhaustively defined in the "Helios_Data_Governance_Specification_v3.5.pdf". This PDF is</w:t>
      </w:r>
      <w:r w:rsidRPr="009F3404">
        <w:rPr>
          <w:rFonts w:ascii="Courier New" w:hAnsi="Courier New" w:cs="Courier New"/>
        </w:rPr>
        <w:t xml:space="preserve"> our contractual agreement with Legal and Product on how customer data is allowed to be combined, stored, and used. The Rules Engine is just an interpreter that executes the rules laid out in sections 4.2 through 4.7 of that document.</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[10:09:00] Leo Tor</w:t>
      </w:r>
      <w:r w:rsidRPr="009F3404">
        <w:rPr>
          <w:rFonts w:ascii="Courier New" w:hAnsi="Courier New" w:cs="Courier New"/>
        </w:rPr>
        <w:t>res:</w:t>
      </w:r>
    </w:p>
    <w:p w:rsidR="00000000" w:rsidRPr="009F3404" w:rsidRDefault="00567E1E" w:rsidP="009F3404">
      <w:pPr>
        <w:pStyle w:val="PlainText"/>
        <w:rPr>
          <w:rFonts w:ascii="Courier New" w:hAnsi="Courier New" w:cs="Courier New"/>
        </w:rPr>
      </w:pPr>
      <w:r w:rsidRPr="009F3404">
        <w:rPr>
          <w:rFonts w:ascii="Courier New" w:hAnsi="Courier New" w:cs="Courier New"/>
        </w:rPr>
        <w:t>And from a security standpoint, that PDF is also our reference for PII handling standards. Any new data source onboarding must have its field mapping validated against the data classification matrix in Appendix B of the PDF before it touches the plat</w:t>
      </w:r>
      <w:r w:rsidRPr="009F3404">
        <w:rPr>
          <w:rFonts w:ascii="Courier New" w:hAnsi="Courier New" w:cs="Courier New"/>
        </w:rPr>
        <w:t>form.</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[10:10:15]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Correct. Now, let's talk about data ingestion. Each of the six sources writes to a dedicated Kafka topic. Our Ingestion Pipelines perform lightweight validation and schema enforcement using Avro. The schema registry and evo</w:t>
      </w:r>
      <w:r w:rsidRPr="009F3404">
        <w:rPr>
          <w:rFonts w:ascii="Courier New" w:hAnsi="Courier New" w:cs="Courier New"/>
        </w:rPr>
        <w:t>lution rules are, again, governed by the governance PDF—section 5.1.</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[10:12:00] Anya Petrova:</w:t>
      </w:r>
    </w:p>
    <w:p w:rsidR="00000000" w:rsidRPr="009F3404" w:rsidRDefault="00567E1E" w:rsidP="009F3404">
      <w:pPr>
        <w:pStyle w:val="PlainText"/>
        <w:rPr>
          <w:rFonts w:ascii="Courier New" w:hAnsi="Courier New" w:cs="Courier New"/>
        </w:rPr>
      </w:pPr>
      <w:r w:rsidRPr="009F3404">
        <w:rPr>
          <w:rFonts w:ascii="Courier New" w:hAnsi="Courier New" w:cs="Courier New"/>
        </w:rPr>
        <w:t>For the real-time Flink jobs, what's the state management strategy, and how do we handle late-arriving data?</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[10:12:35] Chloe Bennett:</w:t>
      </w:r>
    </w:p>
    <w:p w:rsidR="00000000" w:rsidRPr="009F3404" w:rsidRDefault="00567E1E" w:rsidP="009F3404">
      <w:pPr>
        <w:pStyle w:val="PlainText"/>
        <w:rPr>
          <w:rFonts w:ascii="Courier New" w:hAnsi="Courier New" w:cs="Courier New"/>
        </w:rPr>
      </w:pPr>
      <w:r w:rsidRPr="009F3404">
        <w:rPr>
          <w:rFonts w:ascii="Courier New" w:hAnsi="Courier New" w:cs="Courier New"/>
        </w:rPr>
        <w:t>I can jump in here.</w:t>
      </w:r>
      <w:r w:rsidRPr="009F3404">
        <w:rPr>
          <w:rFonts w:ascii="Courier New" w:hAnsi="Courier New" w:cs="Courier New"/>
        </w:rPr>
        <w:t xml:space="preserve"> Flink state is backed by RocksDB with checkpoints to S3 every 2 minutes. For late data, we use Flink's watermarking with a 10-minute allowed lateness window. Data arriving later than that is routed to the batch correction pipeline, which runs hourly. The </w:t>
      </w:r>
      <w:r w:rsidRPr="009F3404">
        <w:rPr>
          <w:rFonts w:ascii="Courier New" w:hAnsi="Courier New" w:cs="Courier New"/>
        </w:rPr>
        <w:t>configuration for these windows—the 2 minutes, the 10 minutes—are parameters defined in our deployment manifests, but the business justification for the 10-minute rule is documented in the PDF's data freshness SLA, section 6.3.</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[10:14:50]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W</w:t>
      </w:r>
      <w:r w:rsidRPr="009F3404">
        <w:rPr>
          <w:rFonts w:ascii="Courier New" w:hAnsi="Courier New" w:cs="Courier New"/>
        </w:rPr>
        <w:t>ell summarized, Chloe. The key takeaway is: the PPT shows you the plumbing, but the PDF tells you what can flow through it and why. Now, the most sensitive component: the Identity Graph.</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[10:16:10] Elena Silva:</w:t>
      </w:r>
    </w:p>
    <w:p w:rsidR="00000000" w:rsidRPr="009F3404" w:rsidRDefault="00567E1E" w:rsidP="009F3404">
      <w:pPr>
        <w:pStyle w:val="PlainText"/>
        <w:rPr>
          <w:rFonts w:ascii="Courier New" w:hAnsi="Courier New" w:cs="Courier New"/>
        </w:rPr>
      </w:pPr>
      <w:r w:rsidRPr="009F3404">
        <w:rPr>
          <w:rFonts w:ascii="Courier New" w:hAnsi="Courier New" w:cs="Courier New"/>
        </w:rPr>
        <w:t>Yes, the graph that links anonymous cooki</w:t>
      </w:r>
      <w:r w:rsidRPr="009F3404">
        <w:rPr>
          <w:rFonts w:ascii="Courier New" w:hAnsi="Courier New" w:cs="Courier New"/>
        </w:rPr>
        <w:t>e IDs to logged-in user IDs to household IDs. Its accuracy is everything.</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[10:16:40]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Precisely. The graph is built using a probabilistic matching algorithm. The confidence thresholds for creating a link—say, between a device ID and an email</w:t>
      </w:r>
      <w:r w:rsidRPr="009F3404">
        <w:rPr>
          <w:rFonts w:ascii="Courier New" w:hAnsi="Courier New" w:cs="Courier New"/>
        </w:rPr>
        <w:t>—are not arbitrary. They were painstakingly negotiated with Privacy. The final, approved thresholds are documented in the PDF, section 7.4, Table 3. Changing any value in that table requires a full privacy impact assessment.</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[10:18:30] Ian Foster:</w:t>
      </w:r>
    </w:p>
    <w:p w:rsidR="00000000" w:rsidRPr="009F3404" w:rsidRDefault="00567E1E" w:rsidP="009F3404">
      <w:pPr>
        <w:pStyle w:val="PlainText"/>
        <w:rPr>
          <w:rFonts w:ascii="Courier New" w:hAnsi="Courier New" w:cs="Courier New"/>
        </w:rPr>
      </w:pPr>
      <w:r w:rsidRPr="009F3404">
        <w:rPr>
          <w:rFonts w:ascii="Courier New" w:hAnsi="Courier New" w:cs="Courier New"/>
        </w:rPr>
        <w:t>On t</w:t>
      </w:r>
      <w:r w:rsidRPr="009F3404">
        <w:rPr>
          <w:rFonts w:ascii="Courier New" w:hAnsi="Courier New" w:cs="Courier New"/>
        </w:rPr>
        <w:t xml:space="preserve">he SRE side, our monitoring for the Identity Graph service alerts specifically on deviations from those confidence thresholds. If the match rate suddenly drops below the PDF-specified baseline, it pages us immediately—it often indicates broken data from a </w:t>
      </w:r>
      <w:r w:rsidRPr="009F3404">
        <w:rPr>
          <w:rFonts w:ascii="Courier New" w:hAnsi="Courier New" w:cs="Courier New"/>
        </w:rPr>
        <w:t>source.</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[10:19:45] Anya Petrova:</w:t>
      </w:r>
    </w:p>
    <w:p w:rsidR="00000000" w:rsidRPr="009F3404" w:rsidRDefault="00567E1E" w:rsidP="009F3404">
      <w:pPr>
        <w:pStyle w:val="PlainText"/>
        <w:rPr>
          <w:rFonts w:ascii="Courier New" w:hAnsi="Courier New" w:cs="Courier New"/>
        </w:rPr>
      </w:pPr>
      <w:r w:rsidRPr="009F3404">
        <w:rPr>
          <w:rFonts w:ascii="Courier New" w:hAnsi="Courier New" w:cs="Courier New"/>
        </w:rPr>
        <w:t>What's the deployment and rollback strategy? Given the sensitivity.</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[10:20:10] Chloe Bennett:</w:t>
      </w:r>
    </w:p>
    <w:p w:rsidR="00000000" w:rsidRPr="009F3404" w:rsidRDefault="00567E1E" w:rsidP="009F3404">
      <w:pPr>
        <w:pStyle w:val="PlainText"/>
        <w:rPr>
          <w:rFonts w:ascii="Courier New" w:hAnsi="Courier New" w:cs="Courier New"/>
        </w:rPr>
      </w:pPr>
      <w:r w:rsidRPr="009F3404">
        <w:rPr>
          <w:rFonts w:ascii="Courier New" w:hAnsi="Courier New" w:cs="Courier New"/>
        </w:rPr>
        <w:t>Blue-green deployment in Kubernetes. We test all new rule interpretations—which are just new code reading the same PDF sp</w:t>
      </w:r>
      <w:r w:rsidRPr="009F3404">
        <w:rPr>
          <w:rFonts w:ascii="Courier New" w:hAnsi="Courier New" w:cs="Courier New"/>
        </w:rPr>
        <w:t>ecs—against a shadow traffic flow for 24 hours. Rollback is a single command to switch the load balancer back to the old green stack. The detailed runbook is linked in the architecture PPT, slide 22.</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[10:21:30] Leo Torres:</w:t>
      </w:r>
    </w:p>
    <w:p w:rsidR="00000000" w:rsidRPr="009F3404" w:rsidRDefault="00567E1E" w:rsidP="009F3404">
      <w:pPr>
        <w:pStyle w:val="PlainText"/>
        <w:rPr>
          <w:rFonts w:ascii="Courier New" w:hAnsi="Courier New" w:cs="Courier New"/>
        </w:rPr>
      </w:pPr>
      <w:r w:rsidRPr="009F3404">
        <w:rPr>
          <w:rFonts w:ascii="Courier New" w:hAnsi="Courier New" w:cs="Courier New"/>
        </w:rPr>
        <w:t>And no deployment is greenlit</w:t>
      </w:r>
      <w:r w:rsidRPr="009F3404">
        <w:rPr>
          <w:rFonts w:ascii="Courier New" w:hAnsi="Courier New" w:cs="Courier New"/>
        </w:rPr>
        <w:t xml:space="preserve"> without the automated compliance check. It pulls the relevant sections from the governance PDF and validates that the new code's behavior, as determined by its unit tests, falls within the permitted boundaries.</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[10:22:45]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 xml:space="preserve">That's a perfect </w:t>
      </w:r>
      <w:r w:rsidRPr="009F3404">
        <w:rPr>
          <w:rFonts w:ascii="Courier New" w:hAnsi="Courier New" w:cs="Courier New"/>
        </w:rPr>
        <w:t>example of the symbiosis. The PDF is the law. The PPT and the code are the enforcers. Anya, when you get an alert or a product team asks for a new data field, your first two stops are: 1) The architecture PPT to understand the system impact, and 2) The gov</w:t>
      </w:r>
      <w:r w:rsidRPr="009F3404">
        <w:rPr>
          <w:rFonts w:ascii="Courier New" w:hAnsi="Courier New" w:cs="Courier New"/>
        </w:rPr>
        <w:t>ernance PDF to understand if it's even permitted, and under what conditions.</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[10:24:15] Anya Petrova:</w:t>
      </w:r>
    </w:p>
    <w:p w:rsidR="00000000" w:rsidRPr="009F3404" w:rsidRDefault="00567E1E" w:rsidP="009F3404">
      <w:pPr>
        <w:pStyle w:val="PlainText"/>
        <w:rPr>
          <w:rFonts w:ascii="Courier New" w:hAnsi="Courier New" w:cs="Courier New"/>
        </w:rPr>
      </w:pPr>
      <w:r w:rsidRPr="009F3404">
        <w:rPr>
          <w:rFonts w:ascii="Courier New" w:hAnsi="Courier New" w:cs="Courier New"/>
        </w:rPr>
        <w:t xml:space="preserve">Understood. So my onboarding path is: internalize the platform flow via the PPT, then memorize the rules of the road via the PDF, especially sections </w:t>
      </w:r>
      <w:r w:rsidRPr="009F3404">
        <w:rPr>
          <w:rFonts w:ascii="Courier New" w:hAnsi="Courier New" w:cs="Courier New"/>
        </w:rPr>
        <w:t>4, 5, and 7.</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[10:25:00] Rohan Kapoor:</w:t>
      </w:r>
    </w:p>
    <w:p w:rsidR="00000000" w:rsidRPr="009F3404" w:rsidRDefault="00567E1E" w:rsidP="009F3404">
      <w:pPr>
        <w:pStyle w:val="PlainText"/>
        <w:rPr>
          <w:rFonts w:ascii="Courier New" w:hAnsi="Courier New" w:cs="Courier New"/>
        </w:rPr>
      </w:pPr>
      <w:r w:rsidRPr="009F3404">
        <w:rPr>
          <w:rFonts w:ascii="Courier New" w:hAnsi="Courier New" w:cs="Courier New"/>
        </w:rPr>
        <w:t>From Product, we will only ever request changes that are amendments to the PDF first. Any engineering ask comes with a PDF section reference. That's our process.</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[10:26:15] Priya Sharma:</w:t>
      </w:r>
    </w:p>
    <w:p w:rsidR="00000000" w:rsidRPr="009F3404" w:rsidRDefault="00567E1E" w:rsidP="009F3404">
      <w:pPr>
        <w:pStyle w:val="PlainText"/>
        <w:rPr>
          <w:rFonts w:ascii="Courier New" w:hAnsi="Courier New" w:cs="Courier New"/>
        </w:rPr>
      </w:pPr>
      <w:r w:rsidRPr="009F3404">
        <w:rPr>
          <w:rFonts w:ascii="Courier New" w:hAnsi="Courier New" w:cs="Courier New"/>
        </w:rPr>
        <w:t>This is excellent clari</w:t>
      </w:r>
      <w:r w:rsidRPr="009F3404">
        <w:rPr>
          <w:rFonts w:ascii="Courier New" w:hAnsi="Courier New" w:cs="Courier New"/>
        </w:rPr>
        <w:t>ty. Anya, do you feel you have a clear map of the landscape and the governing rules?</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[10:26:50] Anya Petrova:</w:t>
      </w:r>
    </w:p>
    <w:p w:rsidR="00000000" w:rsidRPr="009F3404" w:rsidRDefault="00567E1E" w:rsidP="009F3404">
      <w:pPr>
        <w:pStyle w:val="PlainText"/>
        <w:rPr>
          <w:rFonts w:ascii="Courier New" w:hAnsi="Courier New" w:cs="Courier New"/>
        </w:rPr>
      </w:pPr>
      <w:r w:rsidRPr="009F3404">
        <w:rPr>
          <w:rFonts w:ascii="Courier New" w:hAnsi="Courier New" w:cs="Courier New"/>
        </w:rPr>
        <w:t xml:space="preserve">Absolutely. The separation is clear: The PowerPoint is my technical map to the how. The PDF is my legal and business compass for the what and </w:t>
      </w:r>
      <w:r w:rsidRPr="009F3404">
        <w:rPr>
          <w:rFonts w:ascii="Courier New" w:hAnsi="Courier New" w:cs="Courier New"/>
        </w:rPr>
        <w:t>why. I'll start with a deep read of the PDF, then walk through the PPT while mapping its components back to the governance clauses.</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[10:28:00] Marcus Lee:</w:t>
      </w:r>
    </w:p>
    <w:p w:rsidR="00000000" w:rsidRPr="009F3404" w:rsidRDefault="00567E1E" w:rsidP="009F3404">
      <w:pPr>
        <w:pStyle w:val="PlainText"/>
        <w:rPr>
          <w:rFonts w:ascii="Courier New" w:hAnsi="Courier New" w:cs="Courier New"/>
        </w:rPr>
      </w:pPr>
      <w:r w:rsidRPr="009F3404">
        <w:rPr>
          <w:rFonts w:ascii="Courier New" w:hAnsi="Courier New" w:cs="Courier New"/>
        </w:rPr>
        <w:t xml:space="preserve">Perfect approach. I'll be available for the next two weeks to answer any questions where the PPT </w:t>
      </w:r>
      <w:r w:rsidRPr="009F3404">
        <w:rPr>
          <w:rFonts w:ascii="Courier New" w:hAnsi="Courier New" w:cs="Courier New"/>
        </w:rPr>
        <w:t>and PDF seem to conflict—though I assure you, they shouldn't.</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[10:29:15] Priya Sharma:</w:t>
      </w:r>
    </w:p>
    <w:p w:rsidR="00000000" w:rsidRPr="009F3404" w:rsidRDefault="00567E1E" w:rsidP="009F3404">
      <w:pPr>
        <w:pStyle w:val="PlainText"/>
        <w:rPr>
          <w:rFonts w:ascii="Courier New" w:hAnsi="Courier New" w:cs="Courier New"/>
        </w:rPr>
      </w:pPr>
      <w:r w:rsidRPr="009F3404">
        <w:rPr>
          <w:rFonts w:ascii="Courier New" w:hAnsi="Courier New" w:cs="Courier New"/>
        </w:rPr>
        <w:t>Thank you, Marcus, for this meticulous handover, and everyone for the contributions. This transcript will be stored alongside the two core documents. Welcome aboard,</w:t>
      </w:r>
      <w:r w:rsidRPr="009F3404">
        <w:rPr>
          <w:rFonts w:ascii="Courier New" w:hAnsi="Courier New" w:cs="Courier New"/>
        </w:rPr>
        <w:t xml:space="preserve"> Anya. Meeting adjourned.</w:t>
      </w:r>
    </w:p>
    <w:p w:rsidR="00000000" w:rsidRPr="009F3404" w:rsidRDefault="00567E1E" w:rsidP="009F3404">
      <w:pPr>
        <w:pStyle w:val="PlainText"/>
        <w:rPr>
          <w:rFonts w:ascii="Courier New" w:hAnsi="Courier New" w:cs="Courier New"/>
        </w:rPr>
      </w:pPr>
    </w:p>
    <w:p w:rsidR="00000000" w:rsidRPr="009F3404" w:rsidRDefault="00567E1E" w:rsidP="009F3404">
      <w:pPr>
        <w:pStyle w:val="PlainText"/>
        <w:rPr>
          <w:rFonts w:ascii="Courier New" w:hAnsi="Courier New" w:cs="Courier New"/>
        </w:rPr>
      </w:pPr>
      <w:r w:rsidRPr="009F3404">
        <w:rPr>
          <w:rFonts w:ascii="Courier New" w:hAnsi="Courier New" w:cs="Courier New"/>
        </w:rPr>
        <w:t>[11:05:00] Meeting ended.</w:t>
      </w:r>
    </w:p>
    <w:sectPr w:rsidR="00000000" w:rsidRPr="009F3404" w:rsidSect="009F340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CA5"/>
    <w:rsid w:val="00513CA5"/>
    <w:rsid w:val="00567E1E"/>
    <w:rsid w:val="009F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12DCD0B-3335-4C9D-BAFC-BD290ABBC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F340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F340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1116</Words>
  <Characters>6363</Characters>
  <Application>Microsoft Office Word</Application>
  <DocSecurity>4</DocSecurity>
  <Lines>53</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2025-12-01T10:58:00Z</dcterms:created>
  <dcterms:modified xsi:type="dcterms:W3CDTF">2025-12-01T10:58:00Z</dcterms:modified>
</cp:coreProperties>
</file>