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6853BD" w:rsidRDefault="00560C6A" w:rsidP="006853BD">
      <w:pPr>
        <w:pStyle w:val="PlainText"/>
        <w:rPr>
          <w:rFonts w:ascii="Courier New" w:hAnsi="Courier New" w:cs="Courier New"/>
        </w:rPr>
      </w:pPr>
      <w:bookmarkStart w:id="0" w:name="_GoBack"/>
      <w:bookmarkEnd w:id="0"/>
      <w:r w:rsidRPr="006853BD">
        <w:rPr>
          <w:rFonts w:ascii="Courier New" w:hAnsi="Courier New" w:cs="Courier New"/>
        </w:rPr>
        <w:t>Meeting Title: Project Aegis - Phase 2 Core System Knowledge Transfer</w:t>
      </w:r>
    </w:p>
    <w:p w:rsidR="00000000" w:rsidRPr="006853BD" w:rsidRDefault="00560C6A" w:rsidP="006853BD">
      <w:pPr>
        <w:pStyle w:val="PlainText"/>
        <w:rPr>
          <w:rFonts w:ascii="Courier New" w:hAnsi="Courier New" w:cs="Courier New"/>
        </w:rPr>
      </w:pPr>
      <w:r w:rsidRPr="006853BD">
        <w:rPr>
          <w:rFonts w:ascii="Courier New" w:hAnsi="Courier New" w:cs="Courier New"/>
        </w:rPr>
        <w:t>Date: October 26, 2023</w:t>
      </w:r>
    </w:p>
    <w:p w:rsidR="00000000" w:rsidRPr="006853BD" w:rsidRDefault="00560C6A" w:rsidP="006853BD">
      <w:pPr>
        <w:pStyle w:val="PlainText"/>
        <w:rPr>
          <w:rFonts w:ascii="Courier New" w:hAnsi="Courier New" w:cs="Courier New"/>
        </w:rPr>
      </w:pPr>
      <w:r w:rsidRPr="006853BD">
        <w:rPr>
          <w:rFonts w:ascii="Courier New" w:hAnsi="Courier New" w:cs="Courier New"/>
        </w:rPr>
        <w:t>Time: 11:00 AM - 12:05 PM</w:t>
      </w:r>
    </w:p>
    <w:p w:rsidR="00000000" w:rsidRPr="006853BD" w:rsidRDefault="00560C6A" w:rsidP="006853BD">
      <w:pPr>
        <w:pStyle w:val="PlainText"/>
        <w:rPr>
          <w:rFonts w:ascii="Courier New" w:hAnsi="Courier New" w:cs="Courier New"/>
        </w:rPr>
      </w:pPr>
      <w:r w:rsidRPr="006853BD">
        <w:rPr>
          <w:rFonts w:ascii="Courier New" w:hAnsi="Courier New" w:cs="Courier New"/>
        </w:rPr>
        <w:t>Participants:</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 Alex Chen (AC) - Project Manager (Host)</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2. Ben Carter (BC) - Lead Solutions Architect (Outgoing)</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3. Samira K</w:t>
      </w:r>
      <w:r w:rsidRPr="006853BD">
        <w:rPr>
          <w:rFonts w:ascii="Courier New" w:hAnsi="Courier New" w:cs="Courier New"/>
        </w:rPr>
        <w:t>han (SK) - Incoming Lead Developer</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4. David Park (DP) - QA &amp; Security Lead</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5. Maria Rodriguez (MR) - Cloud Infrastructure Lead</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6. Jamie Wilson (JW) - Head of Digital Operations (Business Lead)</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7. Taylor Smith (TS) - Backend Developer</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8. Case</w:t>
      </w:r>
      <w:r w:rsidRPr="006853BD">
        <w:rPr>
          <w:rFonts w:ascii="Courier New" w:hAnsi="Courier New" w:cs="Courier New"/>
        </w:rPr>
        <w:t>y Kim (CK) - Data Governance Analyst</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[11:00:00] Alex Chen:</w:t>
      </w:r>
    </w:p>
    <w:p w:rsidR="00000000" w:rsidRPr="006853BD" w:rsidRDefault="00560C6A" w:rsidP="006853BD">
      <w:pPr>
        <w:pStyle w:val="PlainText"/>
        <w:rPr>
          <w:rFonts w:ascii="Courier New" w:hAnsi="Courier New" w:cs="Courier New"/>
        </w:rPr>
      </w:pPr>
      <w:r w:rsidRPr="006853BD">
        <w:rPr>
          <w:rFonts w:ascii="Courier New" w:hAnsi="Courier New" w:cs="Courier New"/>
        </w:rPr>
        <w:t>Alright team, let's get started. Thank you for making time. As you know, Ben is moving to the Nova initiative, and Samira is taking over the technical lead for Project Aegis. This hour is criti</w:t>
      </w:r>
      <w:r w:rsidRPr="006853BD">
        <w:rPr>
          <w:rFonts w:ascii="Courier New" w:hAnsi="Courier New" w:cs="Courier New"/>
        </w:rPr>
        <w:t>cal to transfer the deep system knowledge. The objective is to ensure Samira is fully equipped on the project's what, why, and most importantly, the how. Ben, I'll hand it over to you.</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[11:01:30]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Thanks, Alex. Hello everyone, and welcome Sa</w:t>
      </w:r>
      <w:r w:rsidRPr="006853BD">
        <w:rPr>
          <w:rFonts w:ascii="Courier New" w:hAnsi="Courier New" w:cs="Courier New"/>
        </w:rPr>
        <w:t>mira. Project Aegis is a real-time compliance orchestration engine. Its core objective is to automate regulatory checks for cross-border digital transactions, specifically for GDPR, CCPA, and the new APAC data framework. Before Aegis, this was a 72-hour ma</w:t>
      </w:r>
      <w:r w:rsidRPr="006853BD">
        <w:rPr>
          <w:rFonts w:ascii="Courier New" w:hAnsi="Courier New" w:cs="Courier New"/>
        </w:rPr>
        <w:t>nual review process. Our system brings it down to under 200 milliseconds with 99.98% accuracy.</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[11:03:15] Jamie Wilson:</w:t>
      </w:r>
    </w:p>
    <w:p w:rsidR="00000000" w:rsidRPr="006853BD" w:rsidRDefault="00560C6A" w:rsidP="006853BD">
      <w:pPr>
        <w:pStyle w:val="PlainText"/>
        <w:rPr>
          <w:rFonts w:ascii="Courier New" w:hAnsi="Courier New" w:cs="Courier New"/>
        </w:rPr>
      </w:pPr>
      <w:r w:rsidRPr="006853BD">
        <w:rPr>
          <w:rFonts w:ascii="Courier New" w:hAnsi="Courier New" w:cs="Courier New"/>
        </w:rPr>
        <w:t>To underscore the business benefit, this isn't just about speed. It directly reduces operational risk and potential fines, which we'</w:t>
      </w:r>
      <w:r w:rsidRPr="006853BD">
        <w:rPr>
          <w:rFonts w:ascii="Courier New" w:hAnsi="Courier New" w:cs="Courier New"/>
        </w:rPr>
        <w:t>ve quantified to a savings of approximately $2.4M annually. It's also enabling our new "Global Connect" product launch next quarter.</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[11:04:00]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Exactly. Now, let's get into the architecture. I'll share my screen.</w:t>
      </w:r>
    </w:p>
    <w:p w:rsidR="00000000" w:rsidRPr="006853BD" w:rsidRDefault="00560C6A" w:rsidP="006853BD">
      <w:pPr>
        <w:pStyle w:val="PlainText"/>
        <w:rPr>
          <w:rFonts w:ascii="Courier New" w:hAnsi="Courier New" w:cs="Courier New"/>
        </w:rPr>
      </w:pPr>
      <w:r w:rsidRPr="006853BD">
        <w:rPr>
          <w:rFonts w:ascii="Courier New" w:hAnsi="Courier New" w:cs="Courier New"/>
        </w:rPr>
        <w:t>Ben Carter shares screen -</w:t>
      </w:r>
      <w:r w:rsidRPr="006853BD">
        <w:rPr>
          <w:rFonts w:ascii="Courier New" w:hAnsi="Courier New" w:cs="Courier New"/>
        </w:rPr>
        <w:t xml:space="preserve"> A detailed system diagram is visible in a PowerPoint.</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[11:04:45]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This high-level overview is in the "Aegis_System_Architecture_v3.2.pptx". The system is built on an event-driven microservices model using Apache Kafka as the central nervous</w:t>
      </w:r>
      <w:r w:rsidRPr="006853BD">
        <w:rPr>
          <w:rFonts w:ascii="Courier New" w:hAnsi="Courier New" w:cs="Courier New"/>
        </w:rPr>
        <w:t xml:space="preserve"> system. The key services are: the Ingestion Gateway, which sanitizes incoming transaction payloads; the Rules Engine, </w:t>
      </w:r>
      <w:r w:rsidRPr="006853BD">
        <w:rPr>
          <w:rFonts w:ascii="Courier New" w:hAnsi="Courier New" w:cs="Courier New"/>
        </w:rPr>
        <w:lastRenderedPageBreak/>
        <w:t>which is the brain; and the Audit Logger, which creates the immutable compliance trail.</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[11:06:30] Samira Khan:</w:t>
      </w:r>
    </w:p>
    <w:p w:rsidR="00000000" w:rsidRPr="006853BD" w:rsidRDefault="00560C6A" w:rsidP="006853BD">
      <w:pPr>
        <w:pStyle w:val="PlainText"/>
        <w:rPr>
          <w:rFonts w:ascii="Courier New" w:hAnsi="Courier New" w:cs="Courier New"/>
        </w:rPr>
      </w:pPr>
      <w:r w:rsidRPr="006853BD">
        <w:rPr>
          <w:rFonts w:ascii="Courier New" w:hAnsi="Courier New" w:cs="Courier New"/>
        </w:rPr>
        <w:t>The diagram shows the</w:t>
      </w:r>
      <w:r w:rsidRPr="006853BD">
        <w:rPr>
          <w:rFonts w:ascii="Courier New" w:hAnsi="Courier New" w:cs="Courier New"/>
        </w:rPr>
        <w:t xml:space="preserve"> Rules Engine pulling from both the internal rule database and an external regulatory API. How is rule precedence managed?</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[11:07:10]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Great first question. That logic is the heart of the system. The precedence matrix—which regulation overri</w:t>
      </w:r>
      <w:r w:rsidRPr="006853BD">
        <w:rPr>
          <w:rFonts w:ascii="Courier New" w:hAnsi="Courier New" w:cs="Courier New"/>
        </w:rPr>
        <w:t>des which under specific transaction flags—is not hardcoded. It's dynamically configured. The source of truth is a master "Rule_Precedence_Matrix.xlsx" file. It has a 'Conflict Resolution' tab that defines the hierarchy using a weighted scoring system. The</w:t>
      </w:r>
      <w:r w:rsidRPr="006853BD">
        <w:rPr>
          <w:rFonts w:ascii="Courier New" w:hAnsi="Courier New" w:cs="Courier New"/>
        </w:rPr>
        <w:t xml:space="preserve"> engine loads this matrix at startup.</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[11:09:00] David Park:</w:t>
      </w:r>
    </w:p>
    <w:p w:rsidR="00000000" w:rsidRPr="006853BD" w:rsidRDefault="00560C6A" w:rsidP="006853BD">
      <w:pPr>
        <w:pStyle w:val="PlainText"/>
        <w:rPr>
          <w:rFonts w:ascii="Courier New" w:hAnsi="Courier New" w:cs="Courier New"/>
        </w:rPr>
      </w:pPr>
      <w:r w:rsidRPr="006853BD">
        <w:rPr>
          <w:rFonts w:ascii="Courier New" w:hAnsi="Courier New" w:cs="Courier New"/>
        </w:rPr>
        <w:t>And that's why any change to that Excel file triggers our full regression suite. A single cell change can alter the outcome of thousands of test transaction scenarios. We treat it as code.</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[11:09:45]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 xml:space="preserve">Right. Now, moving to the data flow. A transaction comes in, gets a unique Aegis ID, and is published as a Kafka event. The Rules Engine consumes it, applies the relevant checks, and publishes a "Compliance Score" event. Any score </w:t>
      </w:r>
      <w:r w:rsidRPr="006853BD">
        <w:rPr>
          <w:rFonts w:ascii="Courier New" w:hAnsi="Courier New" w:cs="Courier New"/>
        </w:rPr>
        <w:t>below our 95% threshold automatically routes to the Human Review Dashboard, which Casey's team manages.</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[11:11:20] Casey Kim:</w:t>
      </w:r>
    </w:p>
    <w:p w:rsidR="00000000" w:rsidRPr="006853BD" w:rsidRDefault="00560C6A" w:rsidP="006853BD">
      <w:pPr>
        <w:pStyle w:val="PlainText"/>
        <w:rPr>
          <w:rFonts w:ascii="Courier New" w:hAnsi="Courier New" w:cs="Courier New"/>
        </w:rPr>
      </w:pPr>
      <w:r w:rsidRPr="006853BD">
        <w:rPr>
          <w:rFonts w:ascii="Courier New" w:hAnsi="Courier New" w:cs="Courier New"/>
        </w:rPr>
        <w:t>Yes, and the business logic defining what constitutes a "reviewable" anomaly versus an outright "blocked" transaction is all d</w:t>
      </w:r>
      <w:r w:rsidRPr="006853BD">
        <w:rPr>
          <w:rFonts w:ascii="Courier New" w:hAnsi="Courier New" w:cs="Courier New"/>
        </w:rPr>
        <w:t>ocumented in the functional spec. That's our bible for audit purposes.</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[11:12:00]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Correct. The complete business logic, all permissible decision paths, and the exact definitions of each compliance check are locked down in the "Aegis_Functio</w:t>
      </w:r>
      <w:r w:rsidRPr="006853BD">
        <w:rPr>
          <w:rFonts w:ascii="Courier New" w:hAnsi="Courier New" w:cs="Courier New"/>
        </w:rPr>
        <w:t>nal_Specification_v4.1.pdf". Every line of code in the Rules Engine maps back to a section in this PDF. For any "why does it do this?" question, the answer is in here.</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[11:13:30] Samira Khan:</w:t>
      </w:r>
    </w:p>
    <w:p w:rsidR="00000000" w:rsidRPr="006853BD" w:rsidRDefault="00560C6A" w:rsidP="006853BD">
      <w:pPr>
        <w:pStyle w:val="PlainText"/>
        <w:rPr>
          <w:rFonts w:ascii="Courier New" w:hAnsi="Courier New" w:cs="Courier New"/>
        </w:rPr>
      </w:pPr>
      <w:r w:rsidRPr="006853BD">
        <w:rPr>
          <w:rFonts w:ascii="Courier New" w:hAnsi="Courier New" w:cs="Courier New"/>
        </w:rPr>
        <w:t xml:space="preserve">Understood. So for deployment and scaling, how is the state </w:t>
      </w:r>
      <w:r w:rsidRPr="006853BD">
        <w:rPr>
          <w:rFonts w:ascii="Courier New" w:hAnsi="Courier New" w:cs="Courier New"/>
        </w:rPr>
        <w:t>managed? If the Rules Engine service scales out, is there a risk of double-processing or state collision?</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[11:14:15] Maria Rodriguez:</w:t>
      </w:r>
    </w:p>
    <w:p w:rsidR="00000000" w:rsidRPr="006853BD" w:rsidRDefault="00560C6A" w:rsidP="006853BD">
      <w:pPr>
        <w:pStyle w:val="PlainText"/>
        <w:rPr>
          <w:rFonts w:ascii="Courier New" w:hAnsi="Courier New" w:cs="Courier New"/>
        </w:rPr>
      </w:pPr>
      <w:r w:rsidRPr="006853BD">
        <w:rPr>
          <w:rFonts w:ascii="Courier New" w:hAnsi="Courier New" w:cs="Courier New"/>
        </w:rPr>
        <w:t>I can take that. Each instance is stateless. The transaction state is managed within the Kafka event itself, using hea</w:t>
      </w:r>
      <w:r w:rsidRPr="006853BD">
        <w:rPr>
          <w:rFonts w:ascii="Courier New" w:hAnsi="Courier New" w:cs="Courier New"/>
        </w:rPr>
        <w:t>der metadata for progression. We deploy using Kubernetes with HashiCorp Vault for injecting the rule matrix and API keys. The Helm charts are configured for horizontal pod autoscaling based on Kafka lag. I'll send you the repo link. The critical part is th</w:t>
      </w:r>
      <w:r w:rsidRPr="006853BD">
        <w:rPr>
          <w:rFonts w:ascii="Courier New" w:hAnsi="Courier New" w:cs="Courier New"/>
        </w:rPr>
        <w:t>e livenessProbe; it doesn't just check if the service is up, but if it can successfully query the rule database.</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[11:16:30]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What Maria said. The golden rule: never store transaction state in service memory. Now, let's talk about the trickie</w:t>
      </w:r>
      <w:r w:rsidRPr="006853BD">
        <w:rPr>
          <w:rFonts w:ascii="Courier New" w:hAnsi="Courier New" w:cs="Courier New"/>
        </w:rPr>
        <w:t>st part: the external regulatory API integration. It's a third-party SOAP service with strict rate limiting and a…quirky…error response schema.</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[11:17:45] Taylor Smith:</w:t>
      </w:r>
    </w:p>
    <w:p w:rsidR="00000000" w:rsidRPr="006853BD" w:rsidRDefault="00560C6A" w:rsidP="006853BD">
      <w:pPr>
        <w:pStyle w:val="PlainText"/>
        <w:rPr>
          <w:rFonts w:ascii="Courier New" w:hAnsi="Courier New" w:cs="Courier New"/>
        </w:rPr>
      </w:pPr>
      <w:r w:rsidRPr="006853BD">
        <w:rPr>
          <w:rFonts w:ascii="Courier New" w:hAnsi="Courier New" w:cs="Courier New"/>
        </w:rPr>
        <w:t>"Quirky" is a kind word. Their 200 OK can sometimes contain a fatalError tag in the</w:t>
      </w:r>
      <w:r w:rsidRPr="006853BD">
        <w:rPr>
          <w:rFonts w:ascii="Courier New" w:hAnsi="Courier New" w:cs="Courier New"/>
        </w:rPr>
        <w:t xml:space="preserve"> nested XML. Our adapter service has to parse three layers deep to be sure.</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[11:18:20]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Yes. The adapter's logic for handling all those edge cases—timeouts, partial responses, schema violations—is the most complex code in the project. The re</w:t>
      </w:r>
      <w:r w:rsidRPr="006853BD">
        <w:rPr>
          <w:rFonts w:ascii="Courier New" w:hAnsi="Courier New" w:cs="Courier New"/>
        </w:rPr>
        <w:t>try logic with exponential backoff and circuit breaker pattern is critical. The full flow, including all error states, is mapped out on the 'API Sequence' tab of that same Excel matrix file I mentioned earlier.</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[11:20:00] David Park:</w:t>
      </w:r>
    </w:p>
    <w:p w:rsidR="00000000" w:rsidRPr="006853BD" w:rsidRDefault="00560C6A" w:rsidP="006853BD">
      <w:pPr>
        <w:pStyle w:val="PlainText"/>
        <w:rPr>
          <w:rFonts w:ascii="Courier New" w:hAnsi="Courier New" w:cs="Courier New"/>
        </w:rPr>
      </w:pPr>
      <w:r w:rsidRPr="006853BD">
        <w:rPr>
          <w:rFonts w:ascii="Courier New" w:hAnsi="Courier New" w:cs="Courier New"/>
        </w:rPr>
        <w:t>From a QA perspect</w:t>
      </w:r>
      <w:r w:rsidRPr="006853BD">
        <w:rPr>
          <w:rFonts w:ascii="Courier New" w:hAnsi="Courier New" w:cs="Courier New"/>
        </w:rPr>
        <w:t>ive, we mock that external dependency entirely in our integration tests using WireMock. The configuration files for those mocks are version-controlled alongside the adapter service code. A change to the real API means we first update the mocks.</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[11:21:1</w:t>
      </w:r>
      <w:r w:rsidRPr="006853BD">
        <w:rPr>
          <w:rFonts w:ascii="Courier New" w:hAnsi="Courier New" w:cs="Courier New"/>
        </w:rPr>
        <w:t>5] Samira Khan:</w:t>
      </w:r>
    </w:p>
    <w:p w:rsidR="00000000" w:rsidRPr="006853BD" w:rsidRDefault="00560C6A" w:rsidP="006853BD">
      <w:pPr>
        <w:pStyle w:val="PlainText"/>
        <w:rPr>
          <w:rFonts w:ascii="Courier New" w:hAnsi="Courier New" w:cs="Courier New"/>
        </w:rPr>
      </w:pPr>
      <w:r w:rsidRPr="006853BD">
        <w:rPr>
          <w:rFonts w:ascii="Courier New" w:hAnsi="Courier New" w:cs="Courier New"/>
        </w:rPr>
        <w:t>What's the monitoring strategy? How do we know if the system is silently failing or degrading?</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[11:21:45] Maria Rodriguez:</w:t>
      </w:r>
    </w:p>
    <w:p w:rsidR="00000000" w:rsidRPr="006853BD" w:rsidRDefault="00560C6A" w:rsidP="006853BD">
      <w:pPr>
        <w:pStyle w:val="PlainText"/>
        <w:rPr>
          <w:rFonts w:ascii="Courier New" w:hAnsi="Courier New" w:cs="Courier New"/>
        </w:rPr>
      </w:pPr>
      <w:r w:rsidRPr="006853BD">
        <w:rPr>
          <w:rFonts w:ascii="Courier New" w:hAnsi="Courier New" w:cs="Courier New"/>
        </w:rPr>
        <w:t>Comprehensive dashboards in Grafana. Key metrics are: end-to-end latency per transaction (95th percentile must b</w:t>
      </w:r>
      <w:r w:rsidRPr="006853BD">
        <w:rPr>
          <w:rFonts w:ascii="Courier New" w:hAnsi="Courier New" w:cs="Courier New"/>
        </w:rPr>
        <w:t>e &lt;200ms), error rate from the external API, and Kafka consumer lag per service. We also alert on any instance where the compliance score is between 90-95%, as it indicates the rule matrix might need tuning. All alerts are routed to the Aegis-specific Page</w:t>
      </w:r>
      <w:r w:rsidRPr="006853BD">
        <w:rPr>
          <w:rFonts w:ascii="Courier New" w:hAnsi="Courier New" w:cs="Courier New"/>
        </w:rPr>
        <w:t>rDuty channel.</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[11:23:30]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 xml:space="preserve">And the logs. Every microservice logs the Aegis ID. You can trace a single transaction through the entire ecosystem, from ingestion to final decision, by grepping for that ID in the centralized Loki stack. This is </w:t>
      </w:r>
      <w:r w:rsidRPr="006853BD">
        <w:rPr>
          <w:rFonts w:ascii="Courier New" w:hAnsi="Courier New" w:cs="Courier New"/>
        </w:rPr>
        <w:t>non-negotiable for debugging.</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[11:24:50] Jamie Wilson:</w:t>
      </w:r>
    </w:p>
    <w:p w:rsidR="00000000" w:rsidRPr="006853BD" w:rsidRDefault="00560C6A" w:rsidP="006853BD">
      <w:pPr>
        <w:pStyle w:val="PlainText"/>
        <w:rPr>
          <w:rFonts w:ascii="Courier New" w:hAnsi="Courier New" w:cs="Courier New"/>
        </w:rPr>
      </w:pPr>
      <w:r w:rsidRPr="006853BD">
        <w:rPr>
          <w:rFonts w:ascii="Courier New" w:hAnsi="Courier New" w:cs="Courier New"/>
        </w:rPr>
        <w:t>From an operational standpoint, the weekly report for leadership is automatically generated from the audit log database. Samira, you'll be responsible for verifying the data integrity of that repor</w:t>
      </w:r>
      <w:r w:rsidRPr="006853BD">
        <w:rPr>
          <w:rFonts w:ascii="Courier New" w:hAnsi="Courier New" w:cs="Courier New"/>
        </w:rPr>
        <w:t>t every Monday morning. The query and logic are documented, but it's a key handoff.</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[11:25:45] Samira Khan:</w:t>
      </w:r>
    </w:p>
    <w:p w:rsidR="00000000" w:rsidRPr="006853BD" w:rsidRDefault="00560C6A" w:rsidP="006853BD">
      <w:pPr>
        <w:pStyle w:val="PlainText"/>
        <w:rPr>
          <w:rFonts w:ascii="Courier New" w:hAnsi="Courier New" w:cs="Courier New"/>
        </w:rPr>
      </w:pPr>
      <w:r w:rsidRPr="006853BD">
        <w:rPr>
          <w:rFonts w:ascii="Courier New" w:hAnsi="Courier New" w:cs="Courier New"/>
        </w:rPr>
        <w:t>Noted. So, to summarize the technical stack: Event-driven microservices on Kubernetes, Kafka for streaming, PostgreSQL for the rule and audit da</w:t>
      </w:r>
      <w:r w:rsidRPr="006853BD">
        <w:rPr>
          <w:rFonts w:ascii="Courier New" w:hAnsi="Courier New" w:cs="Courier New"/>
        </w:rPr>
        <w:t>tabase, the external SOAP API, and the monitoring suite on Grafana/Loki. The three pillar documents are the architecture PPT, the rule matrix Excel, and the functional spec PDF.</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[11:27:00]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Precisely. The PPT is the map, the Excel is the con</w:t>
      </w:r>
      <w:r w:rsidRPr="006853BD">
        <w:rPr>
          <w:rFonts w:ascii="Courier New" w:hAnsi="Courier New" w:cs="Courier New"/>
        </w:rPr>
        <w:t>fig, and the PDF is the law. All are in the /Project_Aegis/Technical_Core/ directory.</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[11:28:15] David Park:</w:t>
      </w:r>
    </w:p>
    <w:p w:rsidR="00000000" w:rsidRPr="006853BD" w:rsidRDefault="00560C6A" w:rsidP="006853BD">
      <w:pPr>
        <w:pStyle w:val="PlainText"/>
        <w:rPr>
          <w:rFonts w:ascii="Courier New" w:hAnsi="Courier New" w:cs="Courier New"/>
        </w:rPr>
      </w:pPr>
      <w:r w:rsidRPr="006853BD">
        <w:rPr>
          <w:rFonts w:ascii="Courier New" w:hAnsi="Courier New" w:cs="Courier New"/>
        </w:rPr>
        <w:t xml:space="preserve">One more critical piece: the security review. Every deployment, even a minor patch, requires a fresh SAST scan because we handle PII. The gate </w:t>
      </w:r>
      <w:r w:rsidRPr="006853BD">
        <w:rPr>
          <w:rFonts w:ascii="Courier New" w:hAnsi="Courier New" w:cs="Courier New"/>
        </w:rPr>
        <w:t>is in the CI/CD pipeline. It will fail the build if any critical vulnerabilities are found.</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[11:29:30] Alex Chen:</w:t>
      </w:r>
    </w:p>
    <w:p w:rsidR="00000000" w:rsidRPr="006853BD" w:rsidRDefault="00560C6A" w:rsidP="006853BD">
      <w:pPr>
        <w:pStyle w:val="PlainText"/>
        <w:rPr>
          <w:rFonts w:ascii="Courier New" w:hAnsi="Courier New" w:cs="Courier New"/>
        </w:rPr>
      </w:pPr>
      <w:r w:rsidRPr="006853BD">
        <w:rPr>
          <w:rFonts w:ascii="Courier New" w:hAnsi="Courier New" w:cs="Courier New"/>
        </w:rPr>
        <w:t>This is comprehensive. Samira, what are your immediate next steps? Do you have any gaps?</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[11:30:15] Samira Khan:</w:t>
      </w:r>
    </w:p>
    <w:p w:rsidR="00000000" w:rsidRPr="006853BD" w:rsidRDefault="00560C6A" w:rsidP="006853BD">
      <w:pPr>
        <w:pStyle w:val="PlainText"/>
        <w:rPr>
          <w:rFonts w:ascii="Courier New" w:hAnsi="Courier New" w:cs="Courier New"/>
        </w:rPr>
      </w:pPr>
      <w:r w:rsidRPr="006853BD">
        <w:rPr>
          <w:rFonts w:ascii="Courier New" w:hAnsi="Courier New" w:cs="Courier New"/>
        </w:rPr>
        <w:t>My plan is: First, wa</w:t>
      </w:r>
      <w:r w:rsidRPr="006853BD">
        <w:rPr>
          <w:rFonts w:ascii="Courier New" w:hAnsi="Courier New" w:cs="Courier New"/>
        </w:rPr>
        <w:t>lk through the functional spec PDF end-to-end to internalize the business rules. Second, set up a local dev environment and run the transaction simulator to see the flow in action. Third, pair with Maria on a dummy deployment to the staging cluster. And fi</w:t>
      </w:r>
      <w:r w:rsidRPr="006853BD">
        <w:rPr>
          <w:rFonts w:ascii="Courier New" w:hAnsi="Courier New" w:cs="Courier New"/>
        </w:rPr>
        <w:t>nally, shadow David's team during a test cycle to understand the validation criteria.</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[11:31:45] Taylor Smith:</w:t>
      </w:r>
    </w:p>
    <w:p w:rsidR="00000000" w:rsidRPr="006853BD" w:rsidRDefault="00560C6A" w:rsidP="006853BD">
      <w:pPr>
        <w:pStyle w:val="PlainText"/>
        <w:rPr>
          <w:rFonts w:ascii="Courier New" w:hAnsi="Courier New" w:cs="Courier New"/>
        </w:rPr>
      </w:pPr>
      <w:r w:rsidRPr="006853BD">
        <w:rPr>
          <w:rFonts w:ascii="Courier New" w:hAnsi="Courier New" w:cs="Courier New"/>
        </w:rPr>
        <w:t>Happy to help with the local setup. The docker-compose file spins up a mini-Kafka cluster and a mock of the external API. It's the best way t</w:t>
      </w:r>
      <w:r w:rsidRPr="006853BD">
        <w:rPr>
          <w:rFonts w:ascii="Courier New" w:hAnsi="Courier New" w:cs="Courier New"/>
        </w:rPr>
        <w:t>o learn.</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[11:32:30] Ben Carter:</w:t>
      </w:r>
    </w:p>
    <w:p w:rsidR="00000000" w:rsidRPr="006853BD" w:rsidRDefault="00560C6A" w:rsidP="006853BD">
      <w:pPr>
        <w:pStyle w:val="PlainText"/>
        <w:rPr>
          <w:rFonts w:ascii="Courier New" w:hAnsi="Courier New" w:cs="Courier New"/>
        </w:rPr>
      </w:pPr>
      <w:r w:rsidRPr="006853BD">
        <w:rPr>
          <w:rFonts w:ascii="Courier New" w:hAnsi="Courier New" w:cs="Courier New"/>
        </w:rPr>
        <w:t>That's perfect. I'll be available for the next two weeks for any deep-dive questions. Start with the PDF and the local environment, and we can sync daily.</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[11:33:45] Alex Chen:</w:t>
      </w:r>
    </w:p>
    <w:p w:rsidR="00000000" w:rsidRPr="006853BD" w:rsidRDefault="00560C6A" w:rsidP="006853BD">
      <w:pPr>
        <w:pStyle w:val="PlainText"/>
        <w:rPr>
          <w:rFonts w:ascii="Courier New" w:hAnsi="Courier New" w:cs="Courier New"/>
        </w:rPr>
      </w:pPr>
      <w:r w:rsidRPr="006853BD">
        <w:rPr>
          <w:rFonts w:ascii="Courier New" w:hAnsi="Courier New" w:cs="Courier New"/>
        </w:rPr>
        <w:t>Excellent. Thank you, Ben, for the imme</w:t>
      </w:r>
      <w:r w:rsidRPr="006853BD">
        <w:rPr>
          <w:rFonts w:ascii="Courier New" w:hAnsi="Courier New" w:cs="Courier New"/>
        </w:rPr>
        <w:t>nse detail and ownership. Samira, welcome aboard officially. Team, please continue to support this transition. This transcript will be saved as part of the formal handover documentation. Meeting adjourned.</w:t>
      </w:r>
    </w:p>
    <w:p w:rsidR="00000000" w:rsidRPr="006853BD" w:rsidRDefault="00560C6A" w:rsidP="006853BD">
      <w:pPr>
        <w:pStyle w:val="PlainText"/>
        <w:rPr>
          <w:rFonts w:ascii="Courier New" w:hAnsi="Courier New" w:cs="Courier New"/>
        </w:rPr>
      </w:pPr>
    </w:p>
    <w:p w:rsidR="00000000" w:rsidRPr="006853BD" w:rsidRDefault="00560C6A" w:rsidP="006853BD">
      <w:pPr>
        <w:pStyle w:val="PlainText"/>
        <w:rPr>
          <w:rFonts w:ascii="Courier New" w:hAnsi="Courier New" w:cs="Courier New"/>
        </w:rPr>
      </w:pPr>
      <w:r w:rsidRPr="006853BD">
        <w:rPr>
          <w:rFonts w:ascii="Courier New" w:hAnsi="Courier New" w:cs="Courier New"/>
        </w:rPr>
        <w:t>[12:05:00] Meeting ended.</w:t>
      </w:r>
    </w:p>
    <w:sectPr w:rsidR="00000000" w:rsidRPr="006853BD" w:rsidSect="006853B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E5"/>
    <w:rsid w:val="002055E5"/>
    <w:rsid w:val="00560C6A"/>
    <w:rsid w:val="00685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DEC56D3-6FD5-4CF2-A002-FA018E7A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853B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853B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1334</Words>
  <Characters>7605</Characters>
  <Application>Microsoft Office Word</Application>
  <DocSecurity>4</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2025-12-01T06:56:00Z</dcterms:created>
  <dcterms:modified xsi:type="dcterms:W3CDTF">2025-12-01T06:56:00Z</dcterms:modified>
</cp:coreProperties>
</file>