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CUSTOMER RETENTION</w:t>
      </w: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&amp; CHURN ANALYSIS</w:t>
      </w:r>
    </w:p>
    <w:p>
      <w:pPr>
        <w:spacing w:after="300"/>
        <w:jc w:val="center"/>
      </w:pPr>
      <w:r>
        <w:rPr>
          <w:color w:val="595959"/>
          <w:sz w:val="28"/>
          <w:szCs w:val="28"/>
        </w:rPr>
        <w:t xml:space="preserve">Understanding Why Customers Leave — and How to Keep Them</w:t>
      </w:r>
    </w:p>
    <w:p>
      <w:pPr>
        <w:pBdr>
          <w:top w:val="single" w:color="C0504D" w:sz="12" w:space="8"/>
        </w:pBdr>
        <w:spacing w:before="600"/>
        <w:jc w:val="center"/>
      </w:pPr>
    </w:p>
    <w:p>
      <w:pPr>
        <w:spacing w:before="400"/>
        <w:jc w:val="center"/>
      </w:pPr>
      <w:r>
        <w:rPr>
          <w:color w:val="262626"/>
          <w:sz w:val="22"/>
          <w:szCs w:val="22"/>
        </w:rPr>
        <w:t xml:space="preserve">Prepared for: Product / Growth / Retention Team</w:t>
      </w:r>
    </w:p>
    <w:p>
      <w:pPr>
        <w:spacing w:after="100"/>
        <w:jc w:val="center"/>
      </w:pPr>
      <w:r>
        <w:rPr>
          <w:color w:val="262626"/>
          <w:sz w:val="22"/>
          <w:szCs w:val="22"/>
        </w:rPr>
        <w:t xml:space="preserve">Dataset: Telco Customer Churn (7,043 customers)</w:t>
      </w:r>
    </w:p>
    <w:p>
      <w:pPr>
        <w:jc w:val="center"/>
      </w:pPr>
      <w:r>
        <w:rPr>
          <w:color w:val="262626"/>
          <w:sz w:val="22"/>
          <w:szCs w:val="22"/>
        </w:rPr>
        <w:t xml:space="preserve">Prepared by: Data Analytics Intern Project</w:t>
      </w:r>
    </w:p>
    <w:p>
      <w:pPr>
        <w:pageBreakBefore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This report analyzes customer-level data from a subscription telecom business to understand why customers churn and which segments carry the highest risk. The dataset covers 7,043 customers, including contract type, tenure, monthly charges, and payment method.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Overall churn stands at 26.5% — roughly 1 in 4 customers leave. However, this headline number hides a much sharper pattern: churn is heavily concentrated among customers who are new, on flexible month-to-month contracts, paying higher monthly charges, and paying by electronic check rather than autopay. These four factors compound, and together they point to a clear, actionable retention strategy.</w:t>
      </w:r>
    </w:p>
    <w:p>
      <w:pPr>
        <w:spacing w:after="100"/>
      </w:pP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Bottom Line</w:t>
            </w:r>
          </w:p>
          <w:p>
            <w:pPr>
              <w:spacing w:after="0" w:line="276"/>
            </w:pPr>
            <w:r>
              <w:rPr>
                <w:color w:val="262626"/>
                <w:sz w:val="21"/>
                <w:szCs w:val="21"/>
              </w:rPr>
              <w:t xml:space="preserve">The highest-risk customer profile is a new, month-to-month customer paying by electronic check. Targeting this exact segment — through contract incentives and autopay enrollment — is the fastest, most concentrated way to reduce overall churn.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Key Metrics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Customers Analyzed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7,043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Overall Churn Rate</w:t>
            </w:r>
          </w:p>
        </w:tc>
        <w:tc>
          <w:tcPr>
            <w:tcW w:type="dxa" w:w="4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26.5%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Highest-Risk Contract Type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Month-to-month (42.7% churn)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Lowest-Risk Contract Type</w:t>
            </w:r>
          </w:p>
        </w:tc>
        <w:tc>
          <w:tcPr>
            <w:tcW w:type="dxa" w:w="4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Two year (2.8% churn)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Highest-Risk Tenure Group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0–12 months (47.4% churn)</w:t>
            </w:r>
          </w:p>
        </w:tc>
      </w:tr>
      <w:tr>
        <w:tc>
          <w:tcPr>
            <w:tcW w:type="dxa" w:w="4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Highest-Risk Payment Method</w:t>
            </w:r>
          </w:p>
        </w:tc>
        <w:tc>
          <w:tcPr>
            <w:tcW w:type="dxa" w:w="4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Electronic check (45.3% churn)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Overall Churn Rate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Across the full customer base, 26.5% of customers have churned. For a subscription business, this is a high rate — well above the single-digit to low-teens churn typically considered healthy — and signals a real retention problem worth addressing systematically rather than case-by-case.</w:t>
      </w:r>
    </w:p>
    <w:p>
      <w:pPr>
        <w:spacing w:after="80" w:before="100"/>
        <w:jc w:val="center"/>
      </w:pPr>
      <w:r>
        <w:drawing>
          <wp:inline distT="0" distB="0" distL="0" distR="0">
            <wp:extent cx="4000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1: Overall customer churn — Yes vs. No</w:t>
      </w: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Recommendation</w:t>
            </w:r>
          </w:p>
          <w:p>
            <w:pPr>
              <w:spacing w:after="0" w:line="276"/>
            </w:pPr>
            <w:r>
              <w:rPr>
                <w:color w:val="262626"/>
                <w:sz w:val="21"/>
                <w:szCs w:val="21"/>
              </w:rPr>
              <w:t xml:space="preserve">Treat churn reduction as a company-wide priority, not an isolated support issue. The following sections identify exactly which segments are driving this rate, so retention efforts can be targeted rather than spread thin.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Churn by Contract Type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Contract type is the single strongest predictor of churn in this dataset. Customers on flexible, no-commitment contracts leave at dramatically higher rates than those on longer-term agreements.</w:t>
      </w:r>
    </w:p>
    <w:p>
      <w:pPr>
        <w:spacing w:after="80" w:before="1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2: Churned customers vs. total customers by Contract Type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2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Month-to-month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3,875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1,655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42.7%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One year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1,473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166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11.3%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Two year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1,695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48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2.8%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Overall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7,043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1,869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26.5%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Contract length dominates churn risk: </w:t>
      </w:r>
      <w:r>
        <w:rPr>
          <w:color w:val="262626"/>
          <w:sz w:val="22"/>
          <w:szCs w:val="22"/>
        </w:rPr>
        <w:t xml:space="preserve">Month-to-month customers churn at 42.7% — nearly 15x the rate of two-year contract customers (2.8%).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Largest segment, largest risk: </w:t>
      </w:r>
      <w:r>
        <w:rPr>
          <w:color w:val="262626"/>
          <w:sz w:val="22"/>
          <w:szCs w:val="22"/>
        </w:rPr>
        <w:t xml:space="preserve">Month-to-month is also the largest customer segment (3,875 of 7,043), meaning it accounts for the vast majority of total churned customers.</w:t>
      </w:r>
    </w:p>
    <w:p>
      <w:pPr>
        <w:spacing w:after="100"/>
      </w:pP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Recommendation</w:t>
            </w:r>
          </w:p>
          <w:p>
            <w:pPr>
              <w:spacing w:after="0" w:line="276"/>
            </w:pPr>
            <w:r>
              <w:rPr>
                <w:color w:val="262626"/>
                <w:sz w:val="21"/>
                <w:szCs w:val="21"/>
              </w:rPr>
              <w:t xml:space="preserve">Introduce stronger incentives — discounts, loyalty perks, or bundled features — to convert month-to-month customers into 1-year contracts, especially once they pass their first 6–12 months and are proven likely to stay.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Churn by Customer Tenure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Breaking churn down by how long a customer has been active reveals a classic early-churn pattern: risk is highest in year one and falls steadily the longer a customer stays.</w:t>
      </w:r>
    </w:p>
    <w:p>
      <w:pPr>
        <w:spacing w:after="80" w:before="100"/>
        <w:jc w:val="center"/>
      </w:pPr>
      <w:r>
        <w:drawing>
          <wp:inline distT="0" distB="0" distL="0" distR="0">
            <wp:extent cx="4762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3: Churned customers vs. total customers by Tenure Group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2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Tenure Group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0–12 months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2,186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1,037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47.4%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13–24 months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1,024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294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28.7%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25–48 months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1,594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325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20.4%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49+ months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2,239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213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9.5%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Overall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7,043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1,869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26.5%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The first year is the danger zone: </w:t>
      </w:r>
      <w:r>
        <w:rPr>
          <w:color w:val="262626"/>
          <w:sz w:val="22"/>
          <w:szCs w:val="22"/>
        </w:rPr>
        <w:t xml:space="preserve">47.4% of customers in their first year churn, compared to just 9.5% of customers with 49+ months of tenure — a 5x drop in risk over the customer lifetime.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Compounds with contract risk: </w:t>
      </w:r>
      <w:r>
        <w:rPr>
          <w:color w:val="262626"/>
          <w:sz w:val="22"/>
          <w:szCs w:val="22"/>
        </w:rPr>
        <w:t xml:space="preserve">Combined with the contract-type finding, this suggests new, month-to-month customers face the highest compounded risk of leaving.</w:t>
      </w:r>
    </w:p>
    <w:p>
      <w:pPr>
        <w:spacing w:after="100"/>
      </w:pP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Recommendation</w:t>
            </w:r>
          </w:p>
          <w:p>
            <w:pPr>
              <w:spacing w:after="0" w:line="276"/>
            </w:pPr>
            <w:r>
              <w:rPr>
                <w:color w:val="262626"/>
                <w:sz w:val="21"/>
                <w:szCs w:val="21"/>
              </w:rPr>
              <w:t xml:space="preserve">Invest in a structured onboarding and engagement program for the first 90–180 days, and proactively offer contract-upgrade incentives once a customer passes the 6–12 month mark.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Churn by Monthly Charges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Higher-paying customers churn more than lower-paying ones — a pattern that likely reflects the type of service being purchased (e.g., premium or bundled plans) rather than price sensitivity alone.</w:t>
      </w:r>
    </w:p>
    <w:p>
      <w:pPr>
        <w:spacing w:after="80" w:before="1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4: Churned customers vs. total customers by Charge Bucket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2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Charge Bucket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Low ($0–35)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1,735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189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10.9%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Medium ($36–70)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1,725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413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23.9%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 ($71+)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3,583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1,267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35.4%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Overall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7,043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1,869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26.5%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High-charge customers are highest risk: </w:t>
      </w:r>
      <w:r>
        <w:rPr>
          <w:color w:val="262626"/>
          <w:sz w:val="22"/>
          <w:szCs w:val="22"/>
        </w:rPr>
        <w:t xml:space="preserve">Customers paying $71+/month churn at 35.4%, more than 3x the rate of customers paying under $35/month (10.9%).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Correlation, not necessarily causation: </w:t>
      </w:r>
      <w:r>
        <w:rPr>
          <w:color w:val="262626"/>
          <w:sz w:val="22"/>
          <w:szCs w:val="22"/>
        </w:rPr>
        <w:t xml:space="preserve">This likely reflects dissatisfaction with premium services or bundle complexity rather than price alone, and should be read alongside contract type and service mix.</w:t>
      </w:r>
    </w:p>
    <w:p>
      <w:pPr>
        <w:spacing w:after="100"/>
      </w:pP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Recommendation</w:t>
            </w:r>
          </w:p>
          <w:p>
            <w:pPr>
              <w:spacing w:after="0" w:line="276"/>
            </w:pPr>
            <w:r>
              <w:rPr>
                <w:color w:val="262626"/>
                <w:sz w:val="21"/>
                <w:szCs w:val="21"/>
              </w:rPr>
              <w:t xml:space="preserve">Review what high-charge customers are actually paying for (e.g., fiber internet, streaming add-ons) and whether service quality, support responsiveness, or contract flexibility in that segment needs improvement.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Churn by Payment Method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Payment method is one of the most actionable predictors of churn in the dataset. Manual, recurring-decision payment methods correlate strongly with higher churn than automated payments.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Electronic check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2,365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1,071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45.3%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Mailed check</w:t>
            </w:r>
          </w:p>
        </w:tc>
        <w:tc>
          <w:tcPr>
            <w:tcW w:type="dxa" w:w="2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1,612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308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19.1%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Bank transfer (automatic)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1,544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258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16.7%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Credit card (automatic)</w:t>
            </w:r>
          </w:p>
        </w:tc>
        <w:tc>
          <w:tcPr>
            <w:tcW w:type="dxa" w:w="2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1,522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232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15.2%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Overall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7,043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1,869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26.5%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Manual payment is a major risk factor: </w:t>
      </w:r>
      <w:r>
        <w:rPr>
          <w:color w:val="262626"/>
          <w:sz w:val="22"/>
          <w:szCs w:val="22"/>
        </w:rPr>
        <w:t xml:space="preserve">Electronic check customers churn at 45.3% — nearly 3x the rate of any automatic payment method (15–19%).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Largest at-risk segment: </w:t>
      </w:r>
      <w:r>
        <w:rPr>
          <w:color w:val="262626"/>
          <w:sz w:val="22"/>
          <w:szCs w:val="22"/>
        </w:rPr>
        <w:t xml:space="preserve">Electronic check is also the single largest payment segment (2,365 customers), meaning it accounts for over half of all churned customers.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Automation reduces friction: </w:t>
      </w:r>
      <w:r>
        <w:rPr>
          <w:color w:val="262626"/>
          <w:sz w:val="22"/>
          <w:szCs w:val="22"/>
        </w:rPr>
        <w:t xml:space="preserve">Both automatic methods (credit card, bank transfer) sit well below the overall average, suggesting automation itself reduces the recurring 'should I cancel?' decision point.</w:t>
      </w:r>
    </w:p>
    <w:p>
      <w:pPr>
        <w:spacing w:after="100"/>
      </w:pP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Recommendation</w:t>
            </w:r>
          </w:p>
          <w:p>
            <w:pPr>
              <w:spacing w:after="0" w:line="276"/>
            </w:pPr>
            <w:r>
              <w:rPr>
                <w:color w:val="262626"/>
                <w:sz w:val="21"/>
                <w:szCs w:val="21"/>
              </w:rPr>
              <w:t xml:space="preserve">Launch a targeted campaign encouraging electronic-check customers to switch to autopay, using a small discount or account credit as an enrollment incentive. This is one of the simplest, highest-leverage retention actions available.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Summary of 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1. Target contract conversion: </w:t>
      </w:r>
      <w:r>
        <w:rPr>
          <w:color w:val="262626"/>
          <w:sz w:val="22"/>
          <w:szCs w:val="22"/>
        </w:rPr>
        <w:t xml:space="preserve">Offer incentives (discounts, loyalty perks, bundled features) to move month-to-month customers onto 1-year or 2-year contracts, particularly after the 6–12 month mark.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2. Strengthen first-year onboarding: </w:t>
      </w:r>
      <w:r>
        <w:rPr>
          <w:color w:val="262626"/>
          <w:sz w:val="22"/>
          <w:szCs w:val="22"/>
        </w:rPr>
        <w:t xml:space="preserve">Build a structured 90–180 day onboarding and engagement program for new customers, the single highest-risk group.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3. Reduce payment friction: </w:t>
      </w:r>
      <w:r>
        <w:rPr>
          <w:color w:val="262626"/>
          <w:sz w:val="22"/>
          <w:szCs w:val="22"/>
        </w:rPr>
        <w:t xml:space="preserve">Run a targeted autopay enrollment campaign for electronic-check customers — the largest and highest-risk payment segment.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4. Audit the premium/high-charge segment: </w:t>
      </w:r>
      <w:r>
        <w:rPr>
          <w:color w:val="262626"/>
          <w:sz w:val="22"/>
          <w:szCs w:val="22"/>
        </w:rPr>
        <w:t xml:space="preserve">Investigate service quality and satisfaction specifically among high-charge customers to understand what's driving elevated churn in that group.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5. Build a compounded risk view: </w:t>
      </w:r>
      <w:r>
        <w:rPr>
          <w:color w:val="262626"/>
          <w:sz w:val="22"/>
          <w:szCs w:val="22"/>
        </w:rPr>
        <w:t xml:space="preserve">Combine contract type, tenure, and payment method into a simple churn-risk score to proactively flag and prioritize the highest-risk customers for retention outreach.</w:t>
      </w:r>
    </w:p>
    <w:p>
      <w:pPr>
        <w:spacing w:after="400"/>
      </w:pPr>
    </w:p>
    <w:p>
      <w:pPr>
        <w:spacing w:after="160" w:line="276"/>
      </w:pPr>
      <w:r>
        <w:rPr>
          <w:i/>
          <w:iCs/>
          <w:color w:val="595959"/>
          <w:sz w:val="20"/>
          <w:szCs w:val="20"/>
        </w:rPr>
        <w:t xml:space="preserve">Prepared using customer-level analysis of the Telco Customer Churn dataset (7,043 customers), covering Contract, Tenure, MonthlyCharges, PaymentMethod, and Churn fields.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Customer Retention &amp; Churn Analysis  |  Confidential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ab072d10c197dc33da0949c4bea0dc130373918.png"/><Relationship Id="rId9" Type="http://schemas.openxmlformats.org/officeDocument/2006/relationships/image" Target="media/7d85eeea613178dc2653b7daba7785bc704ccba0.png"/><Relationship Id="rId10" Type="http://schemas.openxmlformats.org/officeDocument/2006/relationships/image" Target="media/f21ca2ee3bd19e18fa3242f562e7d11e89437ca4.png"/><Relationship Id="rId11" Type="http://schemas.openxmlformats.org/officeDocument/2006/relationships/image" Target="media/7600ae044fa0b00b4e2ed497583a5854fd3e18f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2026-07-07T22:08:06.133Z</dcterms:created>
  <dcterms:modified xsi:type="dcterms:W3CDTF">2026-07-07T22:08:06.133Z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