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Literature Gap Analysis</w:t>
      </w:r>
    </w:p>
    <w:p>
      <w:pPr>
        <w:spacing w:after="200"/>
      </w:pPr>
      <w:r>
        <w:rPr>
          <w:i/>
          <w:iCs/>
          <w:color w:val="444444"/>
          <w:sz w:val="22"/>
          <w:szCs w:val="22"/>
        </w:rPr>
        <w:t xml:space="preserve">A Trust-Score-Based Adaptive Zero Trust Framework for Real-Time Intrusion Detection</w:t>
      </w:r>
    </w:p>
    <w:p>
      <w:pPr>
        <w:spacing w:after="300"/>
      </w:pPr>
      <w:r>
        <w:rPr>
          <w:color w:val="555555"/>
          <w:sz w:val="18"/>
          <w:szCs w:val="18"/>
        </w:rPr>
        <w:t xml:space="preserve">Prepared by: Akash B | Reg. No: 2508110001 | ME Communication Systems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4"/>
        <w:gridCol w:w="2298"/>
        <w:gridCol w:w="2298"/>
        <w:gridCol w:w="1838"/>
        <w:gridCol w:w="1034"/>
        <w:gridCol w:w="2757"/>
      </w:tblGrid>
      <w:tr>
        <w:trPr>
          <w:tblHeader/>
        </w:trPr>
        <w:tc>
          <w:tcPr>
            <w:tcW w:type="dxa" w:w="574"/>
            <w:shd w:fill="1a3d6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98"/>
            <w:shd w:fill="1a3d6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Paper (Author, Year)</w:t>
            </w:r>
          </w:p>
        </w:tc>
        <w:tc>
          <w:tcPr>
            <w:tcW w:type="dxa" w:w="2298"/>
            <w:shd w:fill="1a3d6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Detection Method</w:t>
            </w:r>
          </w:p>
        </w:tc>
        <w:tc>
          <w:tcPr>
            <w:tcW w:type="dxa" w:w="1838"/>
            <w:shd w:fill="1a3d6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Statistical Validation</w:t>
            </w:r>
          </w:p>
        </w:tc>
        <w:tc>
          <w:tcPr>
            <w:tcW w:type="dxa" w:w="1034"/>
            <w:shd w:fill="1a3d6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Drift-Aware?</w:t>
            </w:r>
          </w:p>
        </w:tc>
        <w:tc>
          <w:tcPr>
            <w:tcW w:type="dxa" w:w="2757"/>
            <w:shd w:fill="1a3d6d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Dataset / Reported Result</w:t>
            </w:r>
          </w:p>
        </w:tc>
      </w:tr>
      <w:tr>
        <w:tc>
          <w:tcPr>
            <w:tcW w:type="dxa" w:w="57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29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Bakro et al., IEEE Access, 2023</w:t>
            </w:r>
          </w:p>
        </w:tc>
        <w:tc>
          <w:tcPr>
            <w:tcW w:type="dxa" w:w="229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Hybrid feature-selection approach combined with an ML classifier for cloud intrusion detection</w:t>
            </w:r>
          </w:p>
        </w:tc>
        <w:tc>
          <w:tcPr>
            <w:tcW w:type="dxa" w:w="183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Single split (typical for this style of paper)</w:t>
            </w:r>
          </w:p>
        </w:tc>
        <w:tc>
          <w:tcPr>
            <w:tcW w:type="dxa" w:w="103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275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Cloud IDS benchmark</w:t>
            </w:r>
          </w:p>
        </w:tc>
      </w:tr>
      <w:tr>
        <w:tc>
          <w:tcPr>
            <w:tcW w:type="dxa" w:w="574"/>
            <w:shd w:fill="f2f6f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298"/>
            <w:shd w:fill="f2f6f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IEEE Trans. Consumer Electronics, 2024</w:t>
            </w:r>
          </w:p>
        </w:tc>
        <w:tc>
          <w:tcPr>
            <w:tcW w:type="dxa" w:w="2298"/>
            <w:shd w:fill="f2f6f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SVM and XGBoost-based NIDS for cloud computing environments</w:t>
            </w:r>
          </w:p>
        </w:tc>
        <w:tc>
          <w:tcPr>
            <w:tcW w:type="dxa" w:w="1838"/>
            <w:shd w:fill="f2f6f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Single split</w:t>
            </w:r>
          </w:p>
        </w:tc>
        <w:tc>
          <w:tcPr>
            <w:tcW w:type="dxa" w:w="1034"/>
            <w:shd w:fill="f2f6f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2757"/>
            <w:shd w:fill="f2f6f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Cloud traffic dataset</w:t>
            </w:r>
          </w:p>
        </w:tc>
      </w:tr>
      <w:tr>
        <w:tc>
          <w:tcPr>
            <w:tcW w:type="dxa" w:w="57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29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Roy et al. (cited in MDPI survey, 2025)</w:t>
            </w:r>
          </w:p>
        </w:tc>
        <w:tc>
          <w:tcPr>
            <w:tcW w:type="dxa" w:w="229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Stacking ensemble of boosted decision tree models on IoT traffic</w:t>
            </w:r>
          </w:p>
        </w:tc>
        <w:tc>
          <w:tcPr>
            <w:tcW w:type="dxa" w:w="183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Single accuracy figure; rare-class detection (U2R, R2L) remained weak</w:t>
            </w:r>
          </w:p>
        </w:tc>
        <w:tc>
          <w:tcPr>
            <w:tcW w:type="dxa" w:w="103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275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NSL-KDD 98.5%, CICIDS2017 99.11%</w:t>
            </w:r>
          </w:p>
        </w:tc>
      </w:tr>
      <w:tr>
        <w:tc>
          <w:tcPr>
            <w:tcW w:type="dxa" w:w="574"/>
            <w:shd w:fill="f2f6f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298"/>
            <w:shd w:fill="f2f6f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 Souza et al. (cited in MDPI survey, 2025)</w:t>
            </w:r>
          </w:p>
        </w:tc>
        <w:tc>
          <w:tcPr>
            <w:tcW w:type="dxa" w:w="2298"/>
            <w:shd w:fill="f2f6f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Two-step ensemble combining ExtraTrees and neural networks</w:t>
            </w:r>
          </w:p>
        </w:tc>
        <w:tc>
          <w:tcPr>
            <w:tcW w:type="dxa" w:w="1838"/>
            <w:shd w:fill="f2f6f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High headline accuracy; detected only a small fraction of U2R attacks</w:t>
            </w:r>
          </w:p>
        </w:tc>
        <w:tc>
          <w:tcPr>
            <w:tcW w:type="dxa" w:w="1034"/>
            <w:shd w:fill="f2f6f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2757"/>
            <w:shd w:fill="f2f6f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NSL-KDD 99.81% accuracy</w:t>
            </w:r>
          </w:p>
        </w:tc>
      </w:tr>
      <w:tr>
        <w:tc>
          <w:tcPr>
            <w:tcW w:type="dxa" w:w="57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29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Scientific Reports, 2025 (LSTM-based model)</w:t>
            </w:r>
          </w:p>
        </w:tc>
        <w:tc>
          <w:tcPr>
            <w:tcW w:type="dxa" w:w="229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Optimized LSTM deep learning model with tuned hyperparameters</w:t>
            </w:r>
          </w:p>
        </w:tc>
        <w:tc>
          <w:tcPr>
            <w:tcW w:type="dxa" w:w="183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Single split (typical)</w:t>
            </w:r>
          </w:p>
        </w:tc>
        <w:tc>
          <w:tcPr>
            <w:tcW w:type="dxa" w:w="103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275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NSL-KDD / UNSW-NB15</w:t>
            </w:r>
          </w:p>
        </w:tc>
      </w:tr>
      <w:tr>
        <w:tc>
          <w:tcPr>
            <w:tcW w:type="dxa" w:w="574"/>
            <w:shd w:fill="f2f6f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2298"/>
            <w:shd w:fill="f2f6f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Scientific Reports, 2025 (FA-CNN + Autoencoder)</w:t>
            </w:r>
          </w:p>
        </w:tc>
        <w:tc>
          <w:tcPr>
            <w:tcW w:type="dxa" w:w="2298"/>
            <w:shd w:fill="f2f6f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Ensemble of feature-augmented CNN and deep autoencoder, addressing class imbalance</w:t>
            </w:r>
          </w:p>
        </w:tc>
        <w:tc>
          <w:tcPr>
            <w:tcW w:type="dxa" w:w="1838"/>
            <w:shd w:fill="f2f6f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Single split</w:t>
            </w:r>
          </w:p>
        </w:tc>
        <w:tc>
          <w:tcPr>
            <w:tcW w:type="dxa" w:w="1034"/>
            <w:shd w:fill="f2f6f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2757"/>
            <w:shd w:fill="f2f6f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97% NSL-KDD, 95% CICIDS2017</w:t>
            </w:r>
          </w:p>
        </w:tc>
      </w:tr>
      <w:tr>
        <w:tc>
          <w:tcPr>
            <w:tcW w:type="dxa" w:w="57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229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xIDS-EnsembleGuard, arXiv, 2025</w:t>
            </w:r>
          </w:p>
        </w:tc>
        <w:tc>
          <w:tcPr>
            <w:tcW w:type="dxa" w:w="229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Meta-model combining tree-based and deep-learning models for explainable ensemble detection</w:t>
            </w:r>
          </w:p>
        </w:tc>
        <w:tc>
          <w:tcPr>
            <w:tcW w:type="dxa" w:w="183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clearly k-fold / significance-tested</w:t>
            </w:r>
          </w:p>
        </w:tc>
        <w:tc>
          <w:tcPr>
            <w:tcW w:type="dxa" w:w="103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tcPr>
            <w:tcW w:type="dxa" w:w="275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UNSW-NB15, NSL-KDD, CICIDS2017</w:t>
            </w:r>
          </w:p>
        </w:tc>
      </w:tr>
      <w:tr>
        <w:tc>
          <w:tcPr>
            <w:tcW w:type="dxa" w:w="574"/>
            <w:shd w:fill="f2f6f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2298"/>
            <w:shd w:fill="f2f6f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Andresini et al. (INSOMNIA), 2021</w:t>
            </w:r>
          </w:p>
        </w:tc>
        <w:tc>
          <w:tcPr>
            <w:tcW w:type="dxa" w:w="2298"/>
            <w:shd w:fill="f2f6f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Active-learning-based NIDS designed for robustness to concept drift</w:t>
            </w:r>
          </w:p>
        </w:tc>
        <w:tc>
          <w:tcPr>
            <w:tcW w:type="dxa" w:w="1838"/>
            <w:shd w:fill="f2f6f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full k-fold CV</w:t>
            </w:r>
          </w:p>
        </w:tc>
        <w:tc>
          <w:tcPr>
            <w:tcW w:type="dxa" w:w="1034"/>
            <w:shd w:fill="f2f6f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2757"/>
            <w:shd w:fill="f2f6f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CICIDS2017</w:t>
            </w:r>
          </w:p>
        </w:tc>
      </w:tr>
      <w:tr>
        <w:tc>
          <w:tcPr>
            <w:tcW w:type="dxa" w:w="57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229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Seth et al., hybrid adaptive IDS, 2025</w:t>
            </w:r>
          </w:p>
        </w:tc>
        <w:tc>
          <w:tcPr>
            <w:tcW w:type="dxa" w:w="229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Hybrid k-Means clustering and Random Forest with concept drift detection</w:t>
            </w:r>
          </w:p>
        </w:tc>
        <w:tc>
          <w:tcPr>
            <w:tcW w:type="dxa" w:w="183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stated as k-fold / significance-tested</w:t>
            </w:r>
          </w:p>
        </w:tc>
        <w:tc>
          <w:tcPr>
            <w:tcW w:type="dxa" w:w="103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275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Real-world / streaming traffic</w:t>
            </w:r>
          </w:p>
        </w:tc>
      </w:tr>
      <w:tr>
        <w:tc>
          <w:tcPr>
            <w:tcW w:type="dxa" w:w="574"/>
            <w:shd w:fill="f2f6f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W w:type="dxa" w:w="2298"/>
            <w:shd w:fill="f2f6f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Hu et al., ICCS, 2025</w:t>
            </w:r>
          </w:p>
        </w:tc>
        <w:tc>
          <w:tcPr>
            <w:tcW w:type="dxa" w:w="2298"/>
            <w:shd w:fill="f2f6f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Dual adaptive windowing approach for concept-drift-aware online NIDS</w:t>
            </w:r>
          </w:p>
        </w:tc>
        <w:tc>
          <w:tcPr>
            <w:tcW w:type="dxa" w:w="1838"/>
            <w:shd w:fill="f2f6f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stated as k-fold / significance-tested</w:t>
            </w:r>
          </w:p>
        </w:tc>
        <w:tc>
          <w:tcPr>
            <w:tcW w:type="dxa" w:w="1034"/>
            <w:shd w:fill="f2f6f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tcPr>
            <w:tcW w:type="dxa" w:w="2757"/>
            <w:shd w:fill="f2f6fb" w:color="auto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Streaming NIDS benchmark</w:t>
            </w:r>
          </w:p>
        </w:tc>
      </w:tr>
      <w:tr>
        <w:tc>
          <w:tcPr>
            <w:tcW w:type="dxa" w:w="57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—</w:t>
            </w:r>
          </w:p>
        </w:tc>
        <w:tc>
          <w:tcPr>
            <w:tcW w:type="dxa" w:w="229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This Project</w:t>
            </w:r>
          </w:p>
        </w:tc>
        <w:tc>
          <w:tcPr>
            <w:tcW w:type="dxa" w:w="229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IF + RF + LSTM-AE, stacked ensemble, trust-score fusion</w:t>
            </w:r>
          </w:p>
        </w:tc>
        <w:tc>
          <w:tcPr>
            <w:tcW w:type="dxa" w:w="1838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5-fold CV, paired significance testing, 3-paper baseline comparison</w:t>
            </w:r>
          </w:p>
        </w:tc>
        <w:tc>
          <w:tcPr>
            <w:tcW w:type="dxa" w:w="103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Yes — drift monitor feeds trust score</w:t>
            </w:r>
          </w:p>
        </w:tc>
        <w:tc>
          <w:tcPr>
            <w:tcW w:type="dxa" w:w="275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NSL-KDD (in progress)</w:t>
            </w:r>
          </w:p>
        </w:tc>
      </w:tr>
    </w:tbl>
    <w:p>
      <w:pPr>
        <w:spacing w:before="300"/>
      </w:pPr>
    </w:p>
    <w:p>
      <w:pPr>
        <w:pStyle w:val="Heading2"/>
        <w:spacing w:after="100" w:before="200"/>
      </w:pPr>
      <w:r>
        <w:t xml:space="preserve">Novelty Statement</w:t>
      </w:r>
    </w:p>
    <w:p>
      <w:pPr>
        <w:spacing w:after="200"/>
      </w:pPr>
      <w:r>
        <w:rPr>
          <w:sz w:val="20"/>
          <w:szCs w:val="20"/>
        </w:rPr>
        <w:t xml:space="preserve">No reviewed work combines a trust-score-fused ensemble (classical + temporal deep learning) with statistically validated, drift-aware evaluation on standard IDS benchmarks — this project closes that gap.</w:t>
      </w:r>
    </w:p>
    <w:p>
      <w:pPr>
        <w:pStyle w:val="Heading2"/>
        <w:spacing w:after="100" w:before="200"/>
      </w:pPr>
      <w:r>
        <w:t xml:space="preserve">Notes for Finalizing</w:t>
      </w:r>
    </w:p>
    <w:p>
      <w:pPr>
        <w:spacing w:after="80"/>
      </w:pPr>
      <w:r>
        <w:rPr>
          <w:sz w:val="19"/>
          <w:szCs w:val="19"/>
        </w:rPr>
        <w:t xml:space="preserve">1. Pull the actual PDFs for each paper (search IEEE Xplore / Google Scholar by title) and confirm the method/metrics listed here match the paper's own reported results.</w:t>
      </w:r>
    </w:p>
    <w:p>
      <w:pPr>
        <w:spacing w:after="80"/>
      </w:pPr>
      <w:r>
        <w:rPr>
          <w:sz w:val="19"/>
          <w:szCs w:val="19"/>
        </w:rPr>
        <w:t xml:space="preserve">2. Format the final reference list in IEEE numbered citation style once all 8-10 papers are confirmed.</w:t>
      </w:r>
    </w:p>
    <w:p>
      <w:pPr>
        <w:spacing w:after="80"/>
      </w:pPr>
      <w:r>
        <w:rPr>
          <w:sz w:val="19"/>
          <w:szCs w:val="19"/>
        </w:rPr>
        <w:t xml:space="preserve">3. Replace any paper that turns out to be a weak fit after reading the full text — this table should be validated against the original sources before submission.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2026-09-06T11:59:22.253Z</dcterms:created>
  <dcterms:modified xsi:type="dcterms:W3CDTF">2026-09-06T11:59:22.269Z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