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System Model and Mathematical Formulation</w:t>
      </w:r>
    </w:p>
    <w:p>
      <w:pPr>
        <w:spacing w:after="100"/>
      </w:pPr>
      <w:r>
        <w:rPr>
          <w:b w:val="false"/>
          <w:bCs w:val="false"/>
          <w:i/>
          <w:iCs/>
          <w:sz w:val="22"/>
          <w:szCs w:val="22"/>
        </w:rPr>
        <w:t xml:space="preserve">A Trust-Score-Based Adaptive Zero Trust Framework for Real-Time Intrusion Detection</w:t>
      </w:r>
    </w:p>
    <w:p>
      <w:pPr>
        <w:spacing w:after="300"/>
      </w:pPr>
      <w:r>
        <w:rPr>
          <w:b w:val="false"/>
          <w:bCs w:val="false"/>
          <w:i w:val="false"/>
          <w:iCs w:val="false"/>
          <w:sz w:val="18"/>
          <w:szCs w:val="18"/>
        </w:rPr>
        <w:t xml:space="preserve">Prepared by: Akash B | Reg. No: 2508110001 | ME Communication Systems</w:t>
      </w:r>
    </w:p>
    <w:p>
      <w:pPr>
        <w:pStyle w:val="Heading1"/>
        <w:spacing w:after="100" w:before="240"/>
      </w:pPr>
      <w:r>
        <w:t xml:space="preserve">2.1  Flow Feature Vector and Detection as Hypothesis Testing</w:t>
      </w:r>
    </w:p>
    <w:p>
      <w:pPr>
        <w:spacing w:after="160"/>
      </w:pPr>
      <w:r>
        <w:rPr>
          <w:b w:val="false"/>
          <w:bCs w:val="false"/>
          <w:i w:val="false"/>
          <w:iCs w:val="false"/>
          <w:sz w:val="21"/>
          <w:szCs w:val="21"/>
        </w:rPr>
        <w:t xml:space="preserve">Each network flow observed by the system — whether drawn from the preprocessed NSL-KDD dataset or captured live from the AWS EC2 sensor — is represented as a feature vector x in R^15, using the same 15-feature schema established during preprocessing (protocol type, service, flag, byte counts, connection-rate features, and the mutual-information-ranked subset used for training).</w:t>
      </w:r>
    </w:p>
    <w:p>
      <w:pPr>
        <w:spacing w:after="160"/>
      </w:pPr>
      <w:r>
        <w:rPr>
          <w:b w:val="false"/>
          <w:bCs w:val="false"/>
          <w:i w:val="false"/>
          <w:iCs w:val="false"/>
          <w:sz w:val="21"/>
          <w:szCs w:val="21"/>
        </w:rPr>
        <w:t xml:space="preserve">Framing detection as a statistical decision problem rather than a bare classification label makes the system's behaviour explainable in probabilistic terms, which is what a reviewer expects at the PG level. We therefore pose detection as a binary hypothesis test performed independently on every flow:</w:t>
      </w:r>
    </w:p>
    <w:p>
      <w:pPr>
        <w:spacing w:after="60"/>
      </w:pPr>
      <w:r>
        <w:rPr>
          <w:b w:val="false"/>
          <w:bCs w:val="false"/>
          <w:i w:val="false"/>
          <w:iCs w:val="false"/>
          <w:sz w:val="21"/>
          <w:szCs w:val="21"/>
        </w:rPr>
        <w:t xml:space="preserve">H0 (null hypothesis): the flow is benign, generated by normal user or system behaviour.</w:t>
      </w:r>
    </w:p>
    <w:p>
      <w:pPr>
        <w:spacing w:after="160"/>
      </w:pPr>
      <w:r>
        <w:rPr>
          <w:b w:val="false"/>
          <w:bCs w:val="false"/>
          <w:i w:val="false"/>
          <w:iCs w:val="false"/>
          <w:sz w:val="21"/>
          <w:szCs w:val="21"/>
        </w:rPr>
        <w:t xml:space="preserve">H1 (alternative hypothesis): the flow is malicious, generated by an intrusion attempt (DoS, PortScan, BruteForce, or Data Exfiltration, per the project's 5-class labeling).</w:t>
      </w:r>
    </w:p>
    <w:p>
      <w:pPr>
        <w:spacing w:after="160"/>
      </w:pPr>
      <w:r>
        <w:rPr>
          <w:b w:val="false"/>
          <w:bCs w:val="false"/>
          <w:i w:val="false"/>
          <w:iCs w:val="false"/>
          <w:sz w:val="21"/>
          <w:szCs w:val="21"/>
        </w:rPr>
        <w:t xml:space="preserve">The Random Forest classifier, already trained and tuned via GridSearchCV, outputs a posterior probability estimate y_hat(x) = P(H1 | x) for each flow. The Isolation Forest, trained only on Normal traffic, outputs an anomaly score s(x) derived from average path length across its trees — flows that are easier to isolate (shorter path length) receive a higher anomaly score. Rather than thresholding either output independently into a hard accept/reject label, both are retained as continuous signals and combined into a single trust score, defined in Section 2.2.</w:t>
      </w:r>
    </w:p>
    <w:p>
      <w:pPr>
        <w:pStyle w:val="Heading1"/>
        <w:spacing w:after="100" w:before="240"/>
      </w:pPr>
      <w:r>
        <w:t xml:space="preserve">2.2  Trust-Score Function</w:t>
      </w:r>
    </w:p>
    <w:p>
      <w:pPr>
        <w:spacing w:after="160"/>
      </w:pPr>
      <w:r>
        <w:rPr>
          <w:b w:val="false"/>
          <w:bCs w:val="false"/>
          <w:i w:val="false"/>
          <w:iCs w:val="false"/>
          <w:sz w:val="21"/>
          <w:szCs w:val="21"/>
        </w:rPr>
        <w:t xml:space="preserve">This is the core novelty artefact of the project, and the quantity that Phase 2's enforcement logic will act on directly. The per-flow trust score is defined as:</w:t>
      </w:r>
    </w:p>
    <w:p>
      <w:pPr>
        <w:spacing w:after="100"/>
        <w:jc w:val="center"/>
      </w:pPr>
      <w:r>
        <w:rPr>
          <w:b/>
          <w:bCs/>
          <w:i w:val="false"/>
          <w:iCs w:val="false"/>
          <w:sz w:val="24"/>
          <w:szCs w:val="24"/>
        </w:rPr>
        <w:t xml:space="preserve">T(x) = 1 - [ w1 . y_hat(x) + w2 . sigma(s(x)) + w3 . D(x) ]</w:t>
      </w:r>
    </w:p>
    <w:p>
      <w:pPr>
        <w:spacing w:after="200"/>
        <w:jc w:val="center"/>
      </w:pPr>
      <w:r>
        <w:rPr>
          <w:b/>
          <w:bCs/>
          <w:i w:val="false"/>
          <w:iCs w:val="false"/>
          <w:sz w:val="18"/>
          <w:szCs w:val="18"/>
        </w:rPr>
        <w:t xml:space="preserve">With w1 = 0.55, w2 = 0.40, w3 = 0.05:  T(x) = 1 - [0.55.y_hat(x) + 0.40.sigma(s(x)) + 0.05.D(x)]</w:t>
      </w:r>
    </w:p>
    <w:p>
      <w:pPr>
        <w:spacing w:after="160"/>
      </w:pPr>
      <w:r>
        <w:rPr>
          <w:b w:val="false"/>
          <w:bCs w:val="false"/>
          <w:i w:val="false"/>
          <w:iCs w:val="false"/>
          <w:sz w:val="21"/>
          <w:szCs w:val="21"/>
        </w:rPr>
        <w:t xml:space="preserve">where:</w:t>
      </w:r>
    </w:p>
    <w:p>
      <w:pPr>
        <w:spacing w:after="60"/>
      </w:pPr>
      <w:r>
        <w:rPr>
          <w:b w:val="false"/>
          <w:bCs w:val="false"/>
          <w:i w:val="false"/>
          <w:iCs w:val="false"/>
          <w:sz w:val="21"/>
          <w:szCs w:val="21"/>
        </w:rPr>
        <w:t xml:space="preserve">y_hat(x) — the Random Forest posterior probability of maliciousness, already produced by the trained model.</w:t>
      </w:r>
    </w:p>
    <w:p>
      <w:pPr>
        <w:spacing w:after="60"/>
      </w:pPr>
      <w:r>
        <w:rPr>
          <w:b w:val="false"/>
          <w:bCs w:val="false"/>
          <w:i w:val="false"/>
          <w:iCs w:val="false"/>
          <w:sz w:val="21"/>
          <w:szCs w:val="21"/>
        </w:rPr>
        <w:t xml:space="preserve">sigma(s(x)) — the Isolation Forest anomaly score s(x), passed through a sigmoid to normalise it onto the same [0,1] range as y_hat(x), since raw path-length scores are not naturally bounded.</w:t>
      </w:r>
    </w:p>
    <w:p>
      <w:pPr>
        <w:spacing w:after="60"/>
      </w:pPr>
      <w:r>
        <w:rPr>
          <w:b w:val="false"/>
          <w:bCs w:val="false"/>
          <w:i w:val="false"/>
          <w:iCs w:val="false"/>
          <w:sz w:val="21"/>
          <w:szCs w:val="21"/>
        </w:rPr>
        <w:t xml:space="preserve">D(x) — a drift-adjustment term, produced by the drift monitor introduced in the companion Phase 2 document; it increases when the live traffic distribution has moved away from the distribution the models were trained on, so that a flow scored confidently by a now-stale model is not blindly trusted.</w:t>
      </w:r>
    </w:p>
    <w:p>
      <w:pPr>
        <w:spacing w:after="160"/>
      </w:pPr>
      <w:r>
        <w:rPr>
          <w:b w:val="false"/>
          <w:bCs w:val="false"/>
          <w:i w:val="false"/>
          <w:iCs w:val="false"/>
          <w:sz w:val="21"/>
          <w:szCs w:val="21"/>
        </w:rPr>
        <w:t xml:space="preserve">w1, w2, w3 — non-negative weights summing to 1, tuned by grid search against validation F1. Using the trained Random Forest and Isolation Forest models on the validation split, the search found w1 = 0.55, w2 = 0.40, w3 = 0.05, giving F1 = 0.9997 at a trust-score threshold of 0.55 (a flow is classified malicious when T(x) &lt; 0.55). The w3 value is provisional: with the Phase 2 drift monitor not yet implemented, D(x) was held at 0 during this search, so w3 currently carries no real signal and will be re-optimized once drift detection is added.</w:t>
      </w:r>
    </w:p>
    <w:p>
      <w:pPr>
        <w:spacing w:after="160"/>
      </w:pPr>
      <w:r>
        <w:rPr>
          <w:b w:val="false"/>
          <w:bCs w:val="false"/>
          <w:i w:val="false"/>
          <w:iCs w:val="false"/>
          <w:sz w:val="21"/>
          <w:szCs w:val="21"/>
        </w:rPr>
        <w:t xml:space="preserve">A trust score close to 1 indicates high confidence the flow is benign; a score close to 0 indicates the combined evidence points toward an intrusion. This document trains and validates the components that produce y_hat(x) and s(x) — the classical machine learning pipeline already completed. Phase 2 defines the enforcement thresholds applied to T(x) (e.g., allow, challenge, or block a flow) and implements D(x) via the drift monitor.</w:t>
      </w:r>
    </w:p>
    <w:p>
      <w:pPr>
        <w:pStyle w:val="Heading1"/>
        <w:spacing w:after="100" w:before="240"/>
      </w:pPr>
      <w:r>
        <w:t xml:space="preserve">2.3  Detection-Latency Model</w:t>
      </w:r>
    </w:p>
    <w:p>
      <w:pPr>
        <w:spacing w:after="160"/>
      </w:pPr>
      <w:r>
        <w:rPr>
          <w:b w:val="false"/>
          <w:bCs w:val="false"/>
          <w:i w:val="false"/>
          <w:iCs w:val="false"/>
          <w:sz w:val="21"/>
          <w:szCs w:val="21"/>
        </w:rPr>
        <w:t xml:space="preserve">Because a real-time detection system's usefulness depends on how quickly it can score a flow, the capture and inference stages of the pipeline are modelled as a tandem queue rather than assumed to be instantaneous.</w:t>
      </w:r>
    </w:p>
    <w:p>
      <w:pPr>
        <w:spacing w:after="160"/>
      </w:pPr>
      <w:r>
        <w:rPr>
          <w:b w:val="false"/>
          <w:bCs w:val="false"/>
          <w:i w:val="false"/>
          <w:iCs w:val="false"/>
          <w:sz w:val="21"/>
          <w:szCs w:val="21"/>
        </w:rPr>
        <w:t xml:space="preserve">Packet capture (the Scapy sniffer running on the EC2 instance) is modelled as an M/D/1 queue: packets arrive following a Poisson process, but the service time — writing a captured packet's fields to the CSV — is effectively deterministic, since the per-packet processing work is nearly constant regardless of packet content.</w:t>
      </w:r>
    </w:p>
    <w:p>
      <w:pPr>
        <w:spacing w:after="160"/>
      </w:pPr>
      <w:r>
        <w:rPr>
          <w:b w:val="false"/>
          <w:bCs w:val="false"/>
          <w:i w:val="false"/>
          <w:iCs w:val="false"/>
          <w:sz w:val="21"/>
          <w:szCs w:val="21"/>
        </w:rPr>
        <w:t xml:space="preserve">Model inference (passing a completed flow's feature vector through the Random Forest and Isolation Forest) is modelled as an M/G/1 queue, since inference time can vary with model complexity and is not fixed the way packet logging is.</w:t>
      </w:r>
    </w:p>
    <w:p>
      <w:pPr>
        <w:spacing w:after="160"/>
      </w:pPr>
      <w:r>
        <w:rPr>
          <w:b w:val="false"/>
          <w:bCs w:val="false"/>
          <w:i w:val="false"/>
          <w:iCs w:val="false"/>
          <w:sz w:val="21"/>
          <w:szCs w:val="21"/>
        </w:rPr>
        <w:t xml:space="preserve">Together these give the expected waiting time contributed by capture and inference, E[W_capture] + E[W_inference] — the first two terms of the full detection-to-enforcement latency model that Phase 2 completes once the enforcement stage is added on top.</w:t>
      </w:r>
    </w:p>
    <w:p>
      <w:pPr>
        <w:pStyle w:val="Heading1"/>
        <w:spacing w:after="100" w:before="240"/>
      </w:pPr>
      <w:r>
        <w:t xml:space="preserve">2.4  Information-Theoretic Feature Selection</w:t>
      </w:r>
    </w:p>
    <w:p>
      <w:pPr>
        <w:spacing w:after="160"/>
      </w:pPr>
      <w:r>
        <w:rPr>
          <w:b w:val="false"/>
          <w:bCs w:val="false"/>
          <w:i w:val="false"/>
          <w:iCs w:val="false"/>
          <w:sz w:val="21"/>
          <w:szCs w:val="21"/>
        </w:rPr>
        <w:t xml:space="preserve">Rather than using all 15 features by default, each feature X_i is ranked by its mutual information I(X_i ; Y) with the 5-class attack-type label Y, using the mutual_info_classif ranking already computed and plotted during preprocessing.</w:t>
      </w:r>
    </w:p>
    <w:p>
      <w:pPr>
        <w:spacing w:after="160"/>
      </w:pPr>
      <w:r>
        <w:rPr>
          <w:b w:val="false"/>
          <w:bCs w:val="false"/>
          <w:i w:val="false"/>
          <w:iCs w:val="false"/>
          <w:sz w:val="21"/>
          <w:szCs w:val="21"/>
        </w:rPr>
        <w:t xml:space="preserve">This step matters because it replaces an implicit, unexamined assumption in the original plan ("use all 15 features because they were all in the dataset") with a justified, citable feature-selection step. The top-ranked features from the existing chart — src_bytes, service, diff_srv_rate, and flag — are not arbitrary: src_bytes and diff_srv_rate directly reflect how much data moved and how many distinct services were touched in a short window, both of which are the literal mechanism by which DoS and PortScan attacks manifest at the network level. This ranking is reused unchanged in Section 3's ensemble design and again in Phase 2's ablation study, so computing it once during preprocessing pays off across the rest of the project.</w:t>
      </w:r>
    </w:p>
    <w:p>
      <w:pPr>
        <w:pStyle w:val="Heading1"/>
        <w:spacing w:after="100" w:before="240"/>
      </w:pPr>
      <w:r>
        <w:t xml:space="preserve">Summary for Viva</w:t>
      </w:r>
    </w:p>
    <w:p>
      <w:pPr>
        <w:spacing w:after="160"/>
      </w:pPr>
      <w:r>
        <w:rPr>
          <w:b w:val="false"/>
          <w:bCs w:val="false"/>
          <w:i/>
          <w:iCs/>
          <w:sz w:val="21"/>
          <w:szCs w:val="21"/>
        </w:rPr>
        <w:t xml:space="preserve">Detection is framed as a per-flow hypothesis test (benign vs malicious). The Random Forest's posterior probability and the Isolation Forest's normalised anomaly score are combined — not thresholded separately — into a single trust score T(x), which is the quantity Phase 2's enforcement logic acts on. A queueing model gives the expected latency contributed by capture and inference, and mutual-information ranking justifies which features the models rely on. Everything in this section is built on models already trained; nothing here required new training runs.</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2026-09-06T12:25:09.269Z</dcterms:created>
  <dcterms:modified xsi:type="dcterms:W3CDTF">2026-09-06T12:25:09.284Z</dcterms:modified>
</cp:coreProperties>
</file>

<file path=docProps/custom.xml><?xml version="1.0" encoding="utf-8"?>
<Properties xmlns="http://schemas.openxmlformats.org/officeDocument/2006/custom-properties" xmlns:vt="http://schemas.openxmlformats.org/officeDocument/2006/docPropsVTypes"/>
</file>