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 w:before="0"/>
        <w:jc w:val="center"/>
      </w:pPr>
      <w:r>
        <w:rPr>
          <w:rFonts w:ascii="Arial" w:cs="Arial" w:eastAsia="Arial" w:hAnsi="Arial"/>
          <w:b/>
          <w:bCs/>
          <w:color w:val="888888"/>
          <w:sz w:val="24"/>
          <w:szCs w:val="24"/>
        </w:rPr>
        <w:t xml:space="preserve">PRODUCT REQUIREMENTS DOCUMENT</w:t>
      </w:r>
    </w:p>
    <w:p>
      <w:pPr>
        <w:spacing w:after="80" w:before="40"/>
        <w:jc w:val="center"/>
      </w:pPr>
      <w:r>
        <w:rPr>
          <w:rFonts w:ascii="Arial" w:cs="Arial" w:eastAsia="Arial" w:hAnsi="Arial"/>
          <w:b/>
          <w:bCs/>
          <w:color w:val="1A3C5E"/>
          <w:sz w:val="72"/>
          <w:szCs w:val="72"/>
        </w:rPr>
        <w:t xml:space="preserve">GSTEase</w:t>
      </w:r>
    </w:p>
    <w:p>
      <w:pPr>
        <w:spacing w:after="200" w:before="0"/>
        <w:jc w:val="center"/>
      </w:pPr>
      <w:r>
        <w:rPr>
          <w:rFonts w:ascii="Arial" w:cs="Arial" w:eastAsia="Arial" w:hAnsi="Arial"/>
          <w:color w:val="2E75B6"/>
          <w:sz w:val="32"/>
          <w:szCs w:val="32"/>
        </w:rPr>
        <w:t xml:space="preserve">Automated GST Compliance &amp; Invoicing SaaS</w:t>
      </w:r>
    </w:p>
    <w:p>
      <w:pPr>
        <w:pBdr>
          <w:bottom w:val="single" w:color="2E75B6" w:sz="6" w:space="1"/>
        </w:pBdr>
        <w:spacing w:after="600" w:before="0"/>
        <w:jc w:val="center"/>
      </w:pPr>
      <w:r>
        <w:rPr>
          <w:rFonts w:ascii="Arial" w:cs="Arial" w:eastAsia="Arial" w:hAnsi="Arial"/>
          <w:color w:val="444444"/>
          <w:sz w:val="22"/>
          <w:szCs w:val="22"/>
        </w:rPr>
        <w:t xml:space="preserve">For Indian Freelancers, Solopreneurs &amp; Small Businesses (under ₹5–10 Cr turnover)</w:t>
      </w:r>
    </w:p>
    <w:p>
      <w:pPr>
        <w:spacing w:before="3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666666"/>
                <w:sz w:val="20"/>
                <w:szCs w:val="20"/>
              </w:rPr>
              <w:t xml:space="preserve">Version</w:t>
            </w:r>
          </w:p>
        </w:tc>
        <w:tc>
          <w:tcPr>
            <w:tcW w:type="dxa" w:w="38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sz w:val="20"/>
                <w:szCs w:val="20"/>
              </w:rPr>
              <w:t xml:space="preserve">v1.0 — Initial Release</w:t>
            </w:r>
          </w:p>
        </w:tc>
      </w:tr>
      <w:tr>
        <w:tc>
          <w:tcPr>
            <w:tcW w:type="dxa" w:w="22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666666"/>
                <w:sz w:val="20"/>
                <w:szCs w:val="20"/>
              </w:rPr>
              <w:t xml:space="preserve">Date</w:t>
            </w:r>
          </w:p>
        </w:tc>
        <w:tc>
          <w:tcPr>
            <w:tcW w:type="dxa" w:w="38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sz w:val="20"/>
                <w:szCs w:val="20"/>
              </w:rPr>
              <w:t xml:space="preserve">May 2026</w:t>
            </w:r>
          </w:p>
        </w:tc>
      </w:tr>
      <w:tr>
        <w:tc>
          <w:tcPr>
            <w:tcW w:type="dxa" w:w="22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666666"/>
                <w:sz w:val="20"/>
                <w:szCs w:val="20"/>
              </w:rPr>
              <w:t xml:space="preserve">Audience</w:t>
            </w:r>
          </w:p>
        </w:tc>
        <w:tc>
          <w:tcPr>
            <w:tcW w:type="dxa" w:w="38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sz w:val="20"/>
                <w:szCs w:val="20"/>
              </w:rPr>
              <w:t xml:space="preserve">Product, Engineering, Design, Business</w:t>
            </w:r>
          </w:p>
        </w:tc>
      </w:tr>
      <w:tr>
        <w:tc>
          <w:tcPr>
            <w:tcW w:type="dxa" w:w="22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666666"/>
                <w:sz w:val="20"/>
                <w:szCs w:val="20"/>
              </w:rPr>
              <w:t xml:space="preserve">Status</w:t>
            </w:r>
          </w:p>
        </w:tc>
        <w:tc>
          <w:tcPr>
            <w:tcW w:type="dxa" w:w="38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CC4400"/>
                <w:sz w:val="20"/>
                <w:szCs w:val="20"/>
              </w:rPr>
              <w:t xml:space="preserve">Draft — For Internal Review</w:t>
            </w:r>
          </w:p>
        </w:tc>
      </w:tr>
    </w:tbl>
    <w:p>
      <w:r>
        <w:br w:type="page"/>
      </w:r>
    </w:p>
    <w:p>
      <w:pPr>
        <w:pStyle w:val="Heading1"/>
        <w:spacing w:after="160" w:before="360"/>
      </w:pPr>
      <w:r>
        <w:rPr>
          <w:rFonts w:ascii="Arial" w:cs="Arial" w:eastAsia="Arial" w:hAnsi="Arial"/>
          <w:b/>
          <w:bCs/>
          <w:color w:val="1A3C5E"/>
          <w:sz w:val="32"/>
          <w:szCs w:val="32"/>
        </w:rPr>
        <w:t xml:space="preserve">1. Executive Summary</w:t>
      </w:r>
    </w:p>
    <w:p>
      <w:pPr>
        <w:spacing w:after="60" w:before="60"/>
      </w:pPr>
      <w:r>
        <w:rPr>
          <w:rFonts w:ascii="Arial" w:cs="Arial" w:eastAsia="Arial" w:hAnsi="Arial"/>
          <w:b w:val="false"/>
          <w:bCs w:val="false"/>
          <w:sz w:val="20"/>
          <w:szCs w:val="20"/>
        </w:rPr>
        <w:t xml:space="preserve">GSTEase is a web-based SaaS platform built specifically for the bottom of India's GST taxpayer pyramid — the freelancers, solopreneurs, and small businesses who lack the resources to hire a CA or an accountant but still face the same compliance obligations as larger firms. These users are currently underserved. Existing tools like ClearTax, Zoho Books, and Tally are either too expensive, too complex, or built for accounting teams — not a single-person business.</w:t>
      </w:r>
    </w:p>
    <w:p>
      <w:pPr>
        <w:spacing w:after="60" w:before="60"/>
      </w:pPr>
      <w:r>
        <w:rPr>
          <w:rFonts w:ascii="Arial" w:cs="Arial" w:eastAsia="Arial" w:hAnsi="Arial"/>
          <w:b w:val="false"/>
          <w:bCs w:val="false"/>
          <w:sz w:val="20"/>
          <w:szCs w:val="20"/>
        </w:rPr>
        <w:t xml:space="preserve">GSTEase compresses a typically multi-step, error-prone compliance workflow into a guided, automated experience. The product does not try to be a full accounting suite. It focuses exclusively on the GST layer: invoicing, ITC reconciliation, return filing, liability calculation, and payment tracking. Everything else is out of scope by design.</w:t>
      </w:r>
    </w:p>
    <w:p>
      <w:pPr>
        <w:pBdr>
          <w:bottom w:val="single" w:color="CCDDEE" w:sz="4" w:space="1"/>
        </w:pBdr>
        <w:spacing w:after="120" w:before="120"/>
      </w:pPr>
    </w:p>
    <w:p>
      <w:pPr>
        <w:pStyle w:val="Heading2"/>
        <w:spacing w:after="120" w:before="280"/>
      </w:pPr>
      <w:r>
        <w:rPr>
          <w:rFonts w:ascii="Arial" w:cs="Arial" w:eastAsia="Arial" w:hAnsi="Arial"/>
          <w:b/>
          <w:bCs/>
          <w:color w:val="2E75B6"/>
          <w:sz w:val="26"/>
          <w:szCs w:val="26"/>
        </w:rPr>
        <w:t xml:space="preserve">1.1 Problem Statement</w:t>
      </w:r>
    </w:p>
    <w:p>
      <w:pPr>
        <w:spacing w:after="60" w:before="60"/>
      </w:pPr>
      <w:r>
        <w:rPr>
          <w:rFonts w:ascii="Arial" w:cs="Arial" w:eastAsia="Arial" w:hAnsi="Arial"/>
          <w:b w:val="false"/>
          <w:bCs w:val="false"/>
          <w:sz w:val="20"/>
          <w:szCs w:val="20"/>
        </w:rPr>
        <w:t xml:space="preserve">The core pain is not lack of awareness — it is operational friction. A freelancer registered under GST must:</w:t>
      </w:r>
    </w:p>
    <w:p>
      <w:pPr>
        <w:pStyle w:val="ListParagraph"/>
        <w:numPr>
          <w:ilvl w:val="0"/>
          <w:numId w:val="2"/>
        </w:numPr>
        <w:spacing w:after="40" w:before="40"/>
      </w:pPr>
      <w:r>
        <w:rPr>
          <w:rFonts w:ascii="Arial" w:cs="Arial" w:eastAsia="Arial" w:hAnsi="Arial"/>
          <w:b w:val="false"/>
          <w:bCs w:val="false"/>
          <w:sz w:val="20"/>
          <w:szCs w:val="20"/>
        </w:rPr>
        <w:t xml:space="preserve">Generate GST-compliant invoices manually (often in Excel or Word)</w:t>
      </w:r>
    </w:p>
    <w:p>
      <w:pPr>
        <w:pStyle w:val="ListParagraph"/>
        <w:numPr>
          <w:ilvl w:val="0"/>
          <w:numId w:val="2"/>
        </w:numPr>
        <w:spacing w:after="40" w:before="40"/>
      </w:pPr>
      <w:r>
        <w:rPr>
          <w:rFonts w:ascii="Arial" w:cs="Arial" w:eastAsia="Arial" w:hAnsi="Arial"/>
          <w:b w:val="false"/>
          <w:bCs w:val="false"/>
          <w:sz w:val="20"/>
          <w:szCs w:val="20"/>
        </w:rPr>
        <w:t xml:space="preserve">Track ITC credits from GSTR-2B monthly, reconcile against their own purchase records</w:t>
      </w:r>
    </w:p>
    <w:p>
      <w:pPr>
        <w:pStyle w:val="ListParagraph"/>
        <w:numPr>
          <w:ilvl w:val="0"/>
          <w:numId w:val="2"/>
        </w:numPr>
        <w:spacing w:after="40" w:before="40"/>
      </w:pPr>
      <w:r>
        <w:rPr>
          <w:rFonts w:ascii="Arial" w:cs="Arial" w:eastAsia="Arial" w:hAnsi="Arial"/>
          <w:b w:val="false"/>
          <w:bCs w:val="false"/>
          <w:sz w:val="20"/>
          <w:szCs w:val="20"/>
        </w:rPr>
        <w:t xml:space="preserve">File GSTR-1 (outward supplies) and GSTR-3B (summary return) every month without errors</w:t>
      </w:r>
    </w:p>
    <w:p>
      <w:pPr>
        <w:pStyle w:val="ListParagraph"/>
        <w:numPr>
          <w:ilvl w:val="0"/>
          <w:numId w:val="2"/>
        </w:numPr>
        <w:spacing w:after="40" w:before="40"/>
      </w:pPr>
      <w:r>
        <w:rPr>
          <w:rFonts w:ascii="Arial" w:cs="Arial" w:eastAsia="Arial" w:hAnsi="Arial"/>
          <w:b w:val="false"/>
          <w:bCs w:val="false"/>
          <w:sz w:val="20"/>
          <w:szCs w:val="20"/>
        </w:rPr>
        <w:t xml:space="preserve">Calculate their net tax liability after ITC offset</w:t>
      </w:r>
    </w:p>
    <w:p>
      <w:pPr>
        <w:pStyle w:val="ListParagraph"/>
        <w:numPr>
          <w:ilvl w:val="0"/>
          <w:numId w:val="2"/>
        </w:numPr>
        <w:spacing w:after="40" w:before="40"/>
      </w:pPr>
      <w:r>
        <w:rPr>
          <w:rFonts w:ascii="Arial" w:cs="Arial" w:eastAsia="Arial" w:hAnsi="Arial"/>
          <w:b w:val="false"/>
          <w:bCs w:val="false"/>
          <w:sz w:val="20"/>
          <w:szCs w:val="20"/>
        </w:rPr>
        <w:t xml:space="preserve">Respond to GST notices — often triggered by mismatches they did not catch</w:t>
      </w:r>
    </w:p>
    <w:p>
      <w:pPr>
        <w:spacing w:after="60" w:before="60"/>
      </w:pPr>
      <w:r>
        <w:rPr>
          <w:rFonts w:ascii="Arial" w:cs="Arial" w:eastAsia="Arial" w:hAnsi="Arial"/>
          <w:b w:val="false"/>
          <w:bCs w:val="false"/>
          <w:sz w:val="20"/>
          <w:szCs w:val="20"/>
        </w:rPr>
        <w:t xml:space="preserve">Each of these steps requires either CA involvement (₹2,000–₹10,000/month) or significant time investment with a high risk of notices and penalties. There is no affordable, guided tool that handles the full flow end-to-end.</w:t>
      </w:r>
    </w:p>
    <w:p>
      <w:pPr>
        <w:pBdr>
          <w:bottom w:val="single" w:color="CCDDEE" w:sz="4" w:space="1"/>
        </w:pBdr>
        <w:spacing w:after="120" w:before="120"/>
      </w:pPr>
    </w:p>
    <w:p>
      <w:pPr>
        <w:pStyle w:val="Heading2"/>
        <w:spacing w:after="120" w:before="280"/>
      </w:pPr>
      <w:r>
        <w:rPr>
          <w:rFonts w:ascii="Arial" w:cs="Arial" w:eastAsia="Arial" w:hAnsi="Arial"/>
          <w:b/>
          <w:bCs/>
          <w:color w:val="2E75B6"/>
          <w:sz w:val="26"/>
          <w:szCs w:val="26"/>
        </w:rPr>
        <w:t xml:space="preserve">1.2 Proposed Solution</w:t>
      </w:r>
    </w:p>
    <w:p>
      <w:pPr>
        <w:spacing w:after="60" w:before="60"/>
      </w:pPr>
      <w:r>
        <w:rPr>
          <w:rFonts w:ascii="Arial" w:cs="Arial" w:eastAsia="Arial" w:hAnsi="Arial"/>
          <w:b w:val="false"/>
          <w:bCs w:val="false"/>
          <w:sz w:val="20"/>
          <w:szCs w:val="20"/>
        </w:rPr>
        <w:t xml:space="preserve">GSTEase solves this by providing:</w:t>
      </w:r>
    </w:p>
    <w:p>
      <w:pPr>
        <w:pStyle w:val="ListParagraph"/>
        <w:numPr>
          <w:ilvl w:val="0"/>
          <w:numId w:val="2"/>
        </w:numPr>
        <w:spacing w:after="40" w:before="40"/>
      </w:pPr>
      <w:r>
        <w:rPr>
          <w:rFonts w:ascii="Arial" w:cs="Arial" w:eastAsia="Arial" w:hAnsi="Arial"/>
          <w:b w:val="false"/>
          <w:bCs w:val="false"/>
          <w:sz w:val="20"/>
          <w:szCs w:val="20"/>
        </w:rPr>
        <w:t xml:space="preserve">One-click GST invoicing with auto IRN generation and e-invoice compliance</w:t>
      </w:r>
    </w:p>
    <w:p>
      <w:pPr>
        <w:pStyle w:val="ListParagraph"/>
        <w:numPr>
          <w:ilvl w:val="0"/>
          <w:numId w:val="2"/>
        </w:numPr>
        <w:spacing w:after="40" w:before="40"/>
      </w:pPr>
      <w:r>
        <w:rPr>
          <w:rFonts w:ascii="Arial" w:cs="Arial" w:eastAsia="Arial" w:hAnsi="Arial"/>
          <w:b w:val="false"/>
          <w:bCs w:val="false"/>
          <w:sz w:val="20"/>
          <w:szCs w:val="20"/>
        </w:rPr>
        <w:t xml:space="preserve">Automated ITC reconciliation pulling directly from IMS/GSTR-2B</w:t>
      </w:r>
    </w:p>
    <w:p>
      <w:pPr>
        <w:pStyle w:val="ListParagraph"/>
        <w:numPr>
          <w:ilvl w:val="0"/>
          <w:numId w:val="2"/>
        </w:numPr>
        <w:spacing w:after="40" w:before="40"/>
      </w:pPr>
      <w:r>
        <w:rPr>
          <w:rFonts w:ascii="Arial" w:cs="Arial" w:eastAsia="Arial" w:hAnsi="Arial"/>
          <w:b w:val="false"/>
          <w:bCs w:val="false"/>
          <w:sz w:val="20"/>
          <w:szCs w:val="20"/>
        </w:rPr>
        <w:t xml:space="preserve">Guided GSTR-1 and GSTR-3B filing with pre-validation and error preview</w:t>
      </w:r>
    </w:p>
    <w:p>
      <w:pPr>
        <w:pStyle w:val="ListParagraph"/>
        <w:numPr>
          <w:ilvl w:val="0"/>
          <w:numId w:val="2"/>
        </w:numPr>
        <w:spacing w:after="40" w:before="40"/>
      </w:pPr>
      <w:r>
        <w:rPr>
          <w:rFonts w:ascii="Arial" w:cs="Arial" w:eastAsia="Arial" w:hAnsi="Arial"/>
          <w:b w:val="false"/>
          <w:bCs w:val="false"/>
          <w:sz w:val="20"/>
          <w:szCs w:val="20"/>
        </w:rPr>
        <w:t xml:space="preserve">Real-time GST liability calculator with payment reminders</w:t>
      </w:r>
    </w:p>
    <w:p>
      <w:pPr>
        <w:pStyle w:val="ListParagraph"/>
        <w:numPr>
          <w:ilvl w:val="0"/>
          <w:numId w:val="2"/>
        </w:numPr>
        <w:spacing w:after="40" w:before="40"/>
      </w:pPr>
      <w:r>
        <w:rPr>
          <w:rFonts w:ascii="Arial" w:cs="Arial" w:eastAsia="Arial" w:hAnsi="Arial"/>
          <w:b w:val="false"/>
          <w:bCs w:val="false"/>
          <w:sz w:val="20"/>
          <w:szCs w:val="20"/>
        </w:rPr>
        <w:t xml:space="preserve">Integrated UPI/bank payment links with invoice tracking</w:t>
      </w:r>
    </w:p>
    <w:p>
      <w:r>
        <w:br w:type="page"/>
      </w:r>
    </w:p>
    <w:p>
      <w:pPr>
        <w:pStyle w:val="Heading1"/>
        <w:spacing w:after="160" w:before="360"/>
      </w:pPr>
      <w:r>
        <w:rPr>
          <w:rFonts w:ascii="Arial" w:cs="Arial" w:eastAsia="Arial" w:hAnsi="Arial"/>
          <w:b/>
          <w:bCs/>
          <w:color w:val="1A3C5E"/>
          <w:sz w:val="32"/>
          <w:szCs w:val="32"/>
        </w:rPr>
        <w:t xml:space="preserve">2. Product Goals &amp; Non-Goals</w:t>
      </w:r>
    </w:p>
    <w:p>
      <w:pPr>
        <w:pStyle w:val="Heading2"/>
        <w:spacing w:after="120" w:before="280"/>
      </w:pPr>
      <w:r>
        <w:rPr>
          <w:rFonts w:ascii="Arial" w:cs="Arial" w:eastAsia="Arial" w:hAnsi="Arial"/>
          <w:b/>
          <w:bCs/>
          <w:color w:val="2E75B6"/>
          <w:sz w:val="26"/>
          <w:szCs w:val="26"/>
        </w:rPr>
        <w:t xml:space="preserve">2.1 Business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Goal</w:t>
            </w:r>
          </w:p>
        </w:tc>
        <w:tc>
          <w:tcPr>
            <w:tcW w:type="dxa" w:w="5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2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12-Month Target</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G1 — Acquisition</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Reach 10,000 registered users in 12 months post-launch via organic, CA referral, and digital channels</w:t>
            </w:r>
          </w:p>
        </w:tc>
        <w:tc>
          <w:tcPr>
            <w:tcW w:type="dxa" w:w="2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10,000 users</w:t>
            </w:r>
          </w:p>
        </w:tc>
      </w:tr>
      <w:tr>
        <w:tc>
          <w:tcPr>
            <w:tcW w:type="dxa" w:w="1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G2 — Conversion</w:t>
            </w:r>
          </w:p>
        </w:tc>
        <w:tc>
          <w:tcPr>
            <w:tcW w:type="dxa" w:w="5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Convert free-tier users to paid plans at a rate that validates willingness to pay for compliance automation</w:t>
            </w:r>
          </w:p>
        </w:tc>
        <w:tc>
          <w:tcPr>
            <w:tcW w:type="dxa" w:w="2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15% free-to-paid</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G3 — Retention</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Minimize churn by making the return filing loop sticky — users who file once through GSTEase should default back</w:t>
            </w:r>
          </w:p>
        </w:tc>
        <w:tc>
          <w:tcPr>
            <w:tcW w:type="dxa" w:w="2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85% monthly retention</w:t>
            </w:r>
          </w:p>
        </w:tc>
      </w:tr>
      <w:tr>
        <w:tc>
          <w:tcPr>
            <w:tcW w:type="dxa" w:w="1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G4 — Revenue</w:t>
            </w:r>
          </w:p>
        </w:tc>
        <w:tc>
          <w:tcPr>
            <w:tcW w:type="dxa" w:w="5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Achieve initial monthly recurring revenue through subscription tiers</w:t>
            </w:r>
          </w:p>
        </w:tc>
        <w:tc>
          <w:tcPr>
            <w:tcW w:type="dxa" w:w="2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₹15L MRR by month 12</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G5 — NPS</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Build trust in a category where trust is the primary purchase driver</w:t>
            </w:r>
          </w:p>
        </w:tc>
        <w:tc>
          <w:tcPr>
            <w:tcW w:type="dxa" w:w="2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NPS &gt; 50 by Q4</w:t>
            </w:r>
          </w:p>
        </w:tc>
      </w:tr>
    </w:tbl>
    <w:p>
      <w:pPr>
        <w:spacing w:before="200"/>
      </w:pPr>
    </w:p>
    <w:p>
      <w:pPr>
        <w:pStyle w:val="Heading2"/>
        <w:spacing w:after="120" w:before="280"/>
      </w:pPr>
      <w:r>
        <w:rPr>
          <w:rFonts w:ascii="Arial" w:cs="Arial" w:eastAsia="Arial" w:hAnsi="Arial"/>
          <w:b/>
          <w:bCs/>
          <w:color w:val="2E75B6"/>
          <w:sz w:val="26"/>
          <w:szCs w:val="26"/>
        </w:rPr>
        <w:t xml:space="preserve">2.2 Product Goals</w:t>
      </w:r>
    </w:p>
    <w:p>
      <w:pPr>
        <w:pStyle w:val="ListParagraph"/>
        <w:numPr>
          <w:ilvl w:val="0"/>
          <w:numId w:val="2"/>
        </w:numPr>
        <w:spacing w:after="40" w:before="40"/>
      </w:pPr>
      <w:r>
        <w:rPr>
          <w:rFonts w:ascii="Arial" w:cs="Arial" w:eastAsia="Arial" w:hAnsi="Arial"/>
          <w:b w:val="false"/>
          <w:bCs w:val="false"/>
          <w:sz w:val="20"/>
          <w:szCs w:val="20"/>
        </w:rPr>
        <w:t xml:space="preserve">Reduce time-to-file a GST return from 2–4 hours to under 30 minutes for a non-accountant user</w:t>
      </w:r>
    </w:p>
    <w:p>
      <w:pPr>
        <w:pStyle w:val="ListParagraph"/>
        <w:numPr>
          <w:ilvl w:val="0"/>
          <w:numId w:val="2"/>
        </w:numPr>
        <w:spacing w:after="40" w:before="40"/>
      </w:pPr>
      <w:r>
        <w:rPr>
          <w:rFonts w:ascii="Arial" w:cs="Arial" w:eastAsia="Arial" w:hAnsi="Arial"/>
          <w:b w:val="false"/>
          <w:bCs w:val="false"/>
          <w:sz w:val="20"/>
          <w:szCs w:val="20"/>
        </w:rPr>
        <w:t xml:space="preserve">Eliminate manual data entry for ITC reconciliation by auto-pulling government portal data</w:t>
      </w:r>
    </w:p>
    <w:p>
      <w:pPr>
        <w:pStyle w:val="ListParagraph"/>
        <w:numPr>
          <w:ilvl w:val="0"/>
          <w:numId w:val="2"/>
        </w:numPr>
        <w:spacing w:after="40" w:before="40"/>
      </w:pPr>
      <w:r>
        <w:rPr>
          <w:rFonts w:ascii="Arial" w:cs="Arial" w:eastAsia="Arial" w:hAnsi="Arial"/>
          <w:b w:val="false"/>
          <w:bCs w:val="false"/>
          <w:sz w:val="20"/>
          <w:szCs w:val="20"/>
        </w:rPr>
        <w:t xml:space="preserve">Ensure 100% compliance with GSTN specifications for e-invoicing (IRN, QR code, schema validation)</w:t>
      </w:r>
    </w:p>
    <w:p>
      <w:pPr>
        <w:pStyle w:val="ListParagraph"/>
        <w:numPr>
          <w:ilvl w:val="0"/>
          <w:numId w:val="2"/>
        </w:numPr>
        <w:spacing w:after="40" w:before="40"/>
      </w:pPr>
      <w:r>
        <w:rPr>
          <w:rFonts w:ascii="Arial" w:cs="Arial" w:eastAsia="Arial" w:hAnsi="Arial"/>
          <w:b w:val="false"/>
          <w:bCs w:val="false"/>
          <w:sz w:val="20"/>
          <w:szCs w:val="20"/>
        </w:rPr>
        <w:t xml:space="preserve">Provide actionable error feedback before submission — not after rejection from the portal</w:t>
      </w:r>
    </w:p>
    <w:p>
      <w:pPr>
        <w:pStyle w:val="ListParagraph"/>
        <w:numPr>
          <w:ilvl w:val="0"/>
          <w:numId w:val="2"/>
        </w:numPr>
        <w:spacing w:after="40" w:before="40"/>
      </w:pPr>
      <w:r>
        <w:rPr>
          <w:rFonts w:ascii="Arial" w:cs="Arial" w:eastAsia="Arial" w:hAnsi="Arial"/>
          <w:b w:val="false"/>
          <w:bCs w:val="false"/>
          <w:sz w:val="20"/>
          <w:szCs w:val="20"/>
        </w:rPr>
        <w:t xml:space="preserve">Make the product usable without any prior GST knowledge beyond knowing your GSTIN</w:t>
      </w:r>
    </w:p>
    <w:p>
      <w:pPr>
        <w:pBdr>
          <w:bottom w:val="single" w:color="CCDDEE" w:sz="4" w:space="1"/>
        </w:pBdr>
        <w:spacing w:after="120" w:before="120"/>
      </w:pPr>
    </w:p>
    <w:p>
      <w:pPr>
        <w:pStyle w:val="Heading2"/>
        <w:spacing w:after="120" w:before="280"/>
      </w:pPr>
      <w:r>
        <w:rPr>
          <w:rFonts w:ascii="Arial" w:cs="Arial" w:eastAsia="Arial" w:hAnsi="Arial"/>
          <w:b/>
          <w:bCs/>
          <w:color w:val="2E75B6"/>
          <w:sz w:val="26"/>
          <w:szCs w:val="26"/>
        </w:rPr>
        <w:t xml:space="preserve">2.3 Explicit Non-Goals (v1.0)</w:t>
      </w:r>
    </w:p>
    <w:p>
      <w:pPr>
        <w:spacing w:after="60" w:before="60"/>
      </w:pPr>
      <w:r>
        <w:rPr>
          <w:rFonts w:ascii="Arial" w:cs="Arial" w:eastAsia="Arial" w:hAnsi="Arial"/>
          <w:b w:val="false"/>
          <w:bCs w:val="false"/>
          <w:sz w:val="20"/>
          <w:szCs w:val="20"/>
        </w:rPr>
        <w:t xml:space="preserve">The following are deliberately out of scope for the initial version. Scope creep in these areas will dilute focus and delay launch:</w:t>
      </w:r>
    </w:p>
    <w:p>
      <w:pPr>
        <w:pStyle w:val="ListParagraph"/>
        <w:numPr>
          <w:ilvl w:val="0"/>
          <w:numId w:val="2"/>
        </w:numPr>
        <w:spacing w:after="40" w:before="40"/>
      </w:pPr>
      <w:r>
        <w:rPr>
          <w:rFonts w:ascii="Arial" w:cs="Arial" w:eastAsia="Arial" w:hAnsi="Arial"/>
          <w:b w:val="false"/>
          <w:bCs w:val="false"/>
          <w:sz w:val="20"/>
          <w:szCs w:val="20"/>
        </w:rPr>
        <w:t xml:space="preserve">Full double-entry accounting or bookkeeping</w:t>
      </w:r>
    </w:p>
    <w:p>
      <w:pPr>
        <w:pStyle w:val="ListParagraph"/>
        <w:numPr>
          <w:ilvl w:val="0"/>
          <w:numId w:val="2"/>
        </w:numPr>
        <w:spacing w:after="40" w:before="40"/>
      </w:pPr>
      <w:r>
        <w:rPr>
          <w:rFonts w:ascii="Arial" w:cs="Arial" w:eastAsia="Arial" w:hAnsi="Arial"/>
          <w:b w:val="false"/>
          <w:bCs w:val="false"/>
          <w:sz w:val="20"/>
          <w:szCs w:val="20"/>
        </w:rPr>
        <w:t xml:space="preserve">Payroll, TDS/TCS management, or income tax filing</w:t>
      </w:r>
    </w:p>
    <w:p>
      <w:pPr>
        <w:pStyle w:val="ListParagraph"/>
        <w:numPr>
          <w:ilvl w:val="0"/>
          <w:numId w:val="2"/>
        </w:numPr>
        <w:spacing w:after="40" w:before="40"/>
      </w:pPr>
      <w:r>
        <w:rPr>
          <w:rFonts w:ascii="Arial" w:cs="Arial" w:eastAsia="Arial" w:hAnsi="Arial"/>
          <w:b w:val="false"/>
          <w:bCs w:val="false"/>
          <w:sz w:val="20"/>
          <w:szCs w:val="20"/>
        </w:rPr>
        <w:t xml:space="preserve">Inventory management or POS integration</w:t>
      </w:r>
    </w:p>
    <w:p>
      <w:pPr>
        <w:pStyle w:val="ListParagraph"/>
        <w:numPr>
          <w:ilvl w:val="0"/>
          <w:numId w:val="2"/>
        </w:numPr>
        <w:spacing w:after="40" w:before="40"/>
      </w:pPr>
      <w:r>
        <w:rPr>
          <w:rFonts w:ascii="Arial" w:cs="Arial" w:eastAsia="Arial" w:hAnsi="Arial"/>
          <w:b w:val="false"/>
          <w:bCs w:val="false"/>
          <w:sz w:val="20"/>
          <w:szCs w:val="20"/>
        </w:rPr>
        <w:t xml:space="preserve">Multi-GSTIN or multi-entity support (deferred to v2.0)</w:t>
      </w:r>
    </w:p>
    <w:p>
      <w:pPr>
        <w:pStyle w:val="ListParagraph"/>
        <w:numPr>
          <w:ilvl w:val="0"/>
          <w:numId w:val="2"/>
        </w:numPr>
        <w:spacing w:after="40" w:before="40"/>
      </w:pPr>
      <w:r>
        <w:rPr>
          <w:rFonts w:ascii="Arial" w:cs="Arial" w:eastAsia="Arial" w:hAnsi="Arial"/>
          <w:b w:val="false"/>
          <w:bCs w:val="false"/>
          <w:sz w:val="20"/>
          <w:szCs w:val="20"/>
        </w:rPr>
        <w:t xml:space="preserve">B2B API integrations with ERP systems like SAP or Oracle</w:t>
      </w:r>
    </w:p>
    <w:p>
      <w:pPr>
        <w:pStyle w:val="ListParagraph"/>
        <w:numPr>
          <w:ilvl w:val="0"/>
          <w:numId w:val="2"/>
        </w:numPr>
        <w:spacing w:after="40" w:before="40"/>
      </w:pPr>
      <w:r>
        <w:rPr>
          <w:rFonts w:ascii="Arial" w:cs="Arial" w:eastAsia="Arial" w:hAnsi="Arial"/>
          <w:b w:val="false"/>
          <w:bCs w:val="false"/>
          <w:sz w:val="20"/>
          <w:szCs w:val="20"/>
        </w:rPr>
        <w:t xml:space="preserve">CA/accountant multi-client dashboard (separate product line consideration)</w:t>
      </w:r>
    </w:p>
    <w:p>
      <w:pPr>
        <w:pStyle w:val="ListParagraph"/>
        <w:numPr>
          <w:ilvl w:val="0"/>
          <w:numId w:val="2"/>
        </w:numPr>
        <w:spacing w:after="40" w:before="40"/>
      </w:pPr>
      <w:r>
        <w:rPr>
          <w:rFonts w:ascii="Arial" w:cs="Arial" w:eastAsia="Arial" w:hAnsi="Arial"/>
          <w:b w:val="false"/>
          <w:bCs w:val="false"/>
          <w:sz w:val="20"/>
          <w:szCs w:val="20"/>
        </w:rPr>
        <w:t xml:space="preserve">GSTR-9 (annual return) filing in v1.0</w:t>
      </w:r>
    </w:p>
    <w:p>
      <w:r>
        <w:br w:type="page"/>
      </w:r>
    </w:p>
    <w:p>
      <w:pPr>
        <w:pStyle w:val="Heading1"/>
        <w:spacing w:after="160" w:before="360"/>
      </w:pPr>
      <w:r>
        <w:rPr>
          <w:rFonts w:ascii="Arial" w:cs="Arial" w:eastAsia="Arial" w:hAnsi="Arial"/>
          <w:b/>
          <w:bCs/>
          <w:color w:val="1A3C5E"/>
          <w:sz w:val="32"/>
          <w:szCs w:val="32"/>
        </w:rPr>
        <w:t xml:space="preserve">3. Target Users &amp; Personas</w:t>
      </w:r>
    </w:p>
    <w:p>
      <w:pPr>
        <w:spacing w:after="60" w:before="60"/>
      </w:pPr>
      <w:r>
        <w:rPr>
          <w:rFonts w:ascii="Arial" w:cs="Arial" w:eastAsia="Arial" w:hAnsi="Arial"/>
          <w:b w:val="false"/>
          <w:bCs w:val="false"/>
          <w:sz w:val="20"/>
          <w:szCs w:val="20"/>
        </w:rPr>
        <w:t xml:space="preserve">GSTEase targets three distinct user segments. All three share a common profile: GST-registered, low transaction volume, limited accounting expertise, cost-sensitive, and time-poor.</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40"/>
              <w:left w:type="dxa" w:w="180"/>
              <w:bottom w:type="dxa" w:w="140"/>
              <w:right w:type="dxa" w:w="180"/>
            </w:tcMar>
          </w:tcPr>
          <w:p>
            <w:r>
              <w:rPr>
                <w:rFonts w:ascii="Arial" w:cs="Arial" w:eastAsia="Arial" w:hAnsi="Arial"/>
                <w:b/>
                <w:bCs/>
                <w:color w:val="1A3C5E"/>
                <w:sz w:val="22"/>
                <w:szCs w:val="22"/>
              </w:rPr>
              <w:t xml:space="preserve">Persona 1: Riya — Freelance Graphic Designer, Mumbai</w:t>
            </w:r>
          </w:p>
          <w:p>
            <w:pPr>
              <w:spacing w:before="80"/>
            </w:pPr>
            <w:r>
              <w:rPr>
                <w:rFonts w:ascii="Arial" w:cs="Arial" w:eastAsia="Arial" w:hAnsi="Arial"/>
                <w:color w:val="555555"/>
                <w:sz w:val="19"/>
                <w:szCs w:val="19"/>
              </w:rPr>
              <w:t xml:space="preserve">Turnover: ₹18–25L/year | GST Rate: 18% | Invoices: 8–12/month</w:t>
            </w:r>
          </w:p>
          <w:p>
            <w:pPr>
              <w:spacing w:before="80"/>
            </w:pPr>
            <w:r>
              <w:rPr>
                <w:rFonts w:ascii="Arial" w:cs="Arial" w:eastAsia="Arial" w:hAnsi="Arial"/>
                <w:sz w:val="19"/>
                <w:szCs w:val="19"/>
              </w:rPr>
              <w:t xml:space="preserve">Pain points: Creates invoices in Canva/Word, forgets to add GSTIN on some, files returns late, pays penalties. Does not understand ITC. Has no CA — files returns herself using the GSTN portal which she finds confusing.</w:t>
            </w:r>
          </w:p>
          <w:p>
            <w:pPr>
              <w:spacing w:before="60"/>
            </w:pPr>
            <w:r>
              <w:rPr>
                <w:rFonts w:ascii="Arial" w:cs="Arial" w:eastAsia="Arial" w:hAnsi="Arial"/>
                <w:color w:val="2E75B6"/>
                <w:sz w:val="19"/>
                <w:szCs w:val="19"/>
              </w:rPr>
              <w:t xml:space="preserve">Goal: Just want to send professional invoices and stay compliant without spending hours on it every month.</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EE" w:val="clear"/>
            <w:tcMar>
              <w:top w:type="dxa" w:w="140"/>
              <w:left w:type="dxa" w:w="180"/>
              <w:bottom w:type="dxa" w:w="140"/>
              <w:right w:type="dxa" w:w="180"/>
            </w:tcMar>
          </w:tcPr>
          <w:p>
            <w:r>
              <w:rPr>
                <w:rFonts w:ascii="Arial" w:cs="Arial" w:eastAsia="Arial" w:hAnsi="Arial"/>
                <w:b/>
                <w:bCs/>
                <w:color w:val="1A3C5E"/>
                <w:sz w:val="22"/>
                <w:szCs w:val="22"/>
              </w:rPr>
              <w:t xml:space="preserve">Persona 2: Arvind — IT Consultant &amp; Solopreneur, Bengaluru</w:t>
            </w:r>
          </w:p>
          <w:p>
            <w:pPr>
              <w:spacing w:before="80"/>
            </w:pPr>
            <w:r>
              <w:rPr>
                <w:rFonts w:ascii="Arial" w:cs="Arial" w:eastAsia="Arial" w:hAnsi="Arial"/>
                <w:color w:val="555555"/>
                <w:sz w:val="19"/>
                <w:szCs w:val="19"/>
              </w:rPr>
              <w:t xml:space="preserve">Turnover: ₹60–90L/year | GST Rate: 18% | Invoices: 20–40/month</w:t>
            </w:r>
          </w:p>
          <w:p>
            <w:pPr>
              <w:spacing w:before="80"/>
            </w:pPr>
            <w:r>
              <w:rPr>
                <w:rFonts w:ascii="Arial" w:cs="Arial" w:eastAsia="Arial" w:hAnsi="Arial"/>
                <w:sz w:val="19"/>
                <w:szCs w:val="19"/>
              </w:rPr>
              <w:t xml:space="preserve">Pain points: Uses a CA who charges ₹5,000/month just for GST filing. Wants to reduce that cost. Has AWS, Zoho, and other software subscriptions — manually tracks ITC from each. Spends ~3 hours on GST every month.</w:t>
            </w:r>
          </w:p>
          <w:p>
            <w:pPr>
              <w:spacing w:before="60"/>
            </w:pPr>
            <w:r>
              <w:rPr>
                <w:rFonts w:ascii="Arial" w:cs="Arial" w:eastAsia="Arial" w:hAnsi="Arial"/>
                <w:color w:val="2E75B6"/>
                <w:sz w:val="19"/>
                <w:szCs w:val="19"/>
              </w:rPr>
              <w:t xml:space="preserve">Goal: Cut the CA cost, understand my ITC situation better, and stop worrying about mismatches.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E" w:val="clear"/>
            <w:tcMar>
              <w:top w:type="dxa" w:w="140"/>
              <w:left w:type="dxa" w:w="180"/>
              <w:bottom w:type="dxa" w:w="140"/>
              <w:right w:type="dxa" w:w="180"/>
            </w:tcMar>
          </w:tcPr>
          <w:p>
            <w:r>
              <w:rPr>
                <w:rFonts w:ascii="Arial" w:cs="Arial" w:eastAsia="Arial" w:hAnsi="Arial"/>
                <w:b/>
                <w:bCs/>
                <w:color w:val="1A3C5E"/>
                <w:sz w:val="22"/>
                <w:szCs w:val="22"/>
              </w:rPr>
              <w:t xml:space="preserve">Persona 3: Sunita — Owner, Small Retail Business, Jaipur</w:t>
            </w:r>
          </w:p>
          <w:p>
            <w:pPr>
              <w:spacing w:before="80"/>
            </w:pPr>
            <w:r>
              <w:rPr>
                <w:rFonts w:ascii="Arial" w:cs="Arial" w:eastAsia="Arial" w:hAnsi="Arial"/>
                <w:color w:val="555555"/>
                <w:sz w:val="19"/>
                <w:szCs w:val="19"/>
              </w:rPr>
              <w:t xml:space="preserve">Turnover: ₹3–5Cr/year | Mix of B2B and B2C | Invoices: 100–400/month</w:t>
            </w:r>
          </w:p>
          <w:p>
            <w:pPr>
              <w:spacing w:before="80"/>
            </w:pPr>
            <w:r>
              <w:rPr>
                <w:rFonts w:ascii="Arial" w:cs="Arial" w:eastAsia="Arial" w:hAnsi="Arial"/>
                <w:sz w:val="19"/>
                <w:szCs w:val="19"/>
              </w:rPr>
              <w:t xml:space="preserve">Pain points: e-invoice mandate applies to her. Her current Tally operator generates invoices but does not reconcile ITC properly. She has received two GST notices in the past year for ITC mismatches. Budget is tight.</w:t>
            </w:r>
          </w:p>
          <w:p>
            <w:pPr>
              <w:spacing w:before="60"/>
            </w:pPr>
            <w:r>
              <w:rPr>
                <w:rFonts w:ascii="Arial" w:cs="Arial" w:eastAsia="Arial" w:hAnsi="Arial"/>
                <w:color w:val="2E75B6"/>
                <w:sz w:val="19"/>
                <w:szCs w:val="19"/>
              </w:rPr>
              <w:t xml:space="preserve">Goal: Stop getting notices. Know exactly what I owe before the due date.</w:t>
            </w:r>
          </w:p>
        </w:tc>
      </w:tr>
    </w:tbl>
    <w:p>
      <w:r>
        <w:br w:type="page"/>
      </w:r>
    </w:p>
    <w:p>
      <w:pPr>
        <w:pStyle w:val="Heading1"/>
        <w:spacing w:after="160" w:before="360"/>
      </w:pPr>
      <w:r>
        <w:rPr>
          <w:rFonts w:ascii="Arial" w:cs="Arial" w:eastAsia="Arial" w:hAnsi="Arial"/>
          <w:b/>
          <w:bCs/>
          <w:color w:val="1A3C5E"/>
          <w:sz w:val="32"/>
          <w:szCs w:val="32"/>
        </w:rPr>
        <w:t xml:space="preserve">4. User Stories</w:t>
      </w:r>
    </w:p>
    <w:p>
      <w:pPr>
        <w:pStyle w:val="Heading2"/>
        <w:spacing w:after="120" w:before="280"/>
      </w:pPr>
      <w:r>
        <w:rPr>
          <w:rFonts w:ascii="Arial" w:cs="Arial" w:eastAsia="Arial" w:hAnsi="Arial"/>
          <w:b/>
          <w:bCs/>
          <w:color w:val="2E75B6"/>
          <w:sz w:val="26"/>
          <w:szCs w:val="26"/>
        </w:rPr>
        <w:t xml:space="preserve">4.1 GST-Compliant Invoicing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600"/>
        <w:gridCol w:w="2960"/>
      </w:tblGrid>
      <w:tr>
        <w:trPr>
          <w:tblHeader/>
        </w:trPr>
        <w:tc>
          <w:tcPr>
            <w:tcW w:type="dxa" w:w="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ID</w:t>
            </w:r>
          </w:p>
        </w:tc>
        <w:tc>
          <w:tcPr>
            <w:tcW w:type="dxa" w:w="56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User Story</w:t>
            </w:r>
          </w:p>
        </w:tc>
        <w:tc>
          <w:tcPr>
            <w:tcW w:type="dxa" w:w="29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Acceptance Criteria</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US-01</w:t>
            </w:r>
          </w:p>
        </w:tc>
        <w:tc>
          <w:tcPr>
            <w:tcW w:type="dxa" w:w="5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As a freelancer, I want to create a GST invoice in under 2 minutes so I can bill clients without formatting hassle.</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Invoice generated with all mandatory GST fields; PDF downloadable; GSTIN validation on save</w:t>
            </w:r>
          </w:p>
        </w:tc>
      </w:tr>
      <w:tr>
        <w:tc>
          <w:tcPr>
            <w:tcW w:type="dxa" w:w="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US-02</w:t>
            </w:r>
          </w:p>
        </w:tc>
        <w:tc>
          <w:tcPr>
            <w:tcW w:type="dxa" w:w="56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As a business owner eligible for e-invoicing, I want the system to auto-generate an IRN and embed a QR code so I remain compliant without touching the IRP portal.</w:t>
            </w:r>
          </w:p>
        </w:tc>
        <w:tc>
          <w:tcPr>
            <w:tcW w:type="dxa" w:w="2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IRN generated via IRP API call; QR code embedded in PDF per GSTN schema; retry logic on API failure</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US-03</w:t>
            </w:r>
          </w:p>
        </w:tc>
        <w:tc>
          <w:tcPr>
            <w:tcW w:type="dxa" w:w="5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As a user, I want to create recurring invoices for retainer clients so I don't have to re-enter data every month.</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Recurring invoice schedule configurable; auto-generated on set date; user notified before send</w:t>
            </w:r>
          </w:p>
        </w:tc>
      </w:tr>
      <w:tr>
        <w:tc>
          <w:tcPr>
            <w:tcW w:type="dxa" w:w="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US-04</w:t>
            </w:r>
          </w:p>
        </w:tc>
        <w:tc>
          <w:tcPr>
            <w:tcW w:type="dxa" w:w="56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As a user, I want to see which invoices are paid, unpaid, or overdue in a single dashboard so I know my receivables at a glance.</w:t>
            </w:r>
          </w:p>
        </w:tc>
        <w:tc>
          <w:tcPr>
            <w:tcW w:type="dxa" w:w="2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Invoice list filterable by status; overdue invoices flagged with days overdue count</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US-05</w:t>
            </w:r>
          </w:p>
        </w:tc>
        <w:tc>
          <w:tcPr>
            <w:tcW w:type="dxa" w:w="5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As a user, I want to add a UPI payment link or bank details to my invoice so clients can pay directly from the document.</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Payment link embedded in PDF and email; payment status updated on webhook receipt</w:t>
            </w:r>
          </w:p>
        </w:tc>
      </w:tr>
    </w:tbl>
    <w:p>
      <w:pPr>
        <w:spacing w:before="200"/>
      </w:pPr>
    </w:p>
    <w:p>
      <w:pPr>
        <w:pStyle w:val="Heading2"/>
        <w:spacing w:after="120" w:before="280"/>
      </w:pPr>
      <w:r>
        <w:rPr>
          <w:rFonts w:ascii="Arial" w:cs="Arial" w:eastAsia="Arial" w:hAnsi="Arial"/>
          <w:b/>
          <w:bCs/>
          <w:color w:val="2E75B6"/>
          <w:sz w:val="26"/>
          <w:szCs w:val="26"/>
        </w:rPr>
        <w:t xml:space="preserve">4.2 ITC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600"/>
        <w:gridCol w:w="2960"/>
      </w:tblGrid>
      <w:tr>
        <w:trPr>
          <w:tblHeader/>
        </w:trPr>
        <w:tc>
          <w:tcPr>
            <w:tcW w:type="dxa" w:w="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ID</w:t>
            </w:r>
          </w:p>
        </w:tc>
        <w:tc>
          <w:tcPr>
            <w:tcW w:type="dxa" w:w="56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User Story</w:t>
            </w:r>
          </w:p>
        </w:tc>
        <w:tc>
          <w:tcPr>
            <w:tcW w:type="dxa" w:w="29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Acceptance Criteria</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US-06</w:t>
            </w:r>
          </w:p>
        </w:tc>
        <w:tc>
          <w:tcPr>
            <w:tcW w:type="dxa" w:w="5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As a user, I want the system to auto-fetch my GSTR-2B data from the GST portal so I don't have to download and upload Excel files manually.</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GST portal OAuth or API integration; auto-pull triggered monthly; last-synced timestamp shown</w:t>
            </w:r>
          </w:p>
        </w:tc>
      </w:tr>
      <w:tr>
        <w:tc>
          <w:tcPr>
            <w:tcW w:type="dxa" w:w="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US-07</w:t>
            </w:r>
          </w:p>
        </w:tc>
        <w:tc>
          <w:tcPr>
            <w:tcW w:type="dxa" w:w="56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As a user, I want to see a clear mismatch report between my purchase records and GSTR-2B so I know exactly which invoices have ITC issues.</w:t>
            </w:r>
          </w:p>
        </w:tc>
        <w:tc>
          <w:tcPr>
            <w:tcW w:type="dxa" w:w="2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Mismatch table shows: invoice number, supplier GSTIN, expected ITC, available ITC, difference</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US-08</w:t>
            </w:r>
          </w:p>
        </w:tc>
        <w:tc>
          <w:tcPr>
            <w:tcW w:type="dxa" w:w="5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As a user, I want to accept or reject ITC claims in one click so I can reconcile without manually editing spreadsheets.</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Accept/reject buttons per line item; bulk action available; changes reflected in liability calc</w:t>
            </w:r>
          </w:p>
        </w:tc>
      </w:tr>
      <w:tr>
        <w:tc>
          <w:tcPr>
            <w:tcW w:type="dxa" w:w="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US-09</w:t>
            </w:r>
          </w:p>
        </w:tc>
        <w:tc>
          <w:tcPr>
            <w:tcW w:type="dxa" w:w="56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As a user, I want to be notified when a supplier has not filed their GSTR-1, causing my ITC to be at risk, so I can follow up proactively.</w:t>
            </w:r>
          </w:p>
        </w:tc>
        <w:tc>
          <w:tcPr>
            <w:tcW w:type="dxa" w:w="2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Alert triggered when supplier's GSTR-1 not filed by 11th; email/in-app notification sent</w:t>
            </w:r>
          </w:p>
        </w:tc>
      </w:tr>
    </w:tbl>
    <w:p>
      <w:pPr>
        <w:spacing w:before="200"/>
      </w:pPr>
    </w:p>
    <w:p>
      <w:pPr>
        <w:pStyle w:val="Heading2"/>
        <w:spacing w:after="120" w:before="280"/>
      </w:pPr>
      <w:r>
        <w:rPr>
          <w:rFonts w:ascii="Arial" w:cs="Arial" w:eastAsia="Arial" w:hAnsi="Arial"/>
          <w:b/>
          <w:bCs/>
          <w:color w:val="2E75B6"/>
          <w:sz w:val="26"/>
          <w:szCs w:val="26"/>
        </w:rPr>
        <w:t xml:space="preserve">4.3 Return 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600"/>
        <w:gridCol w:w="2960"/>
      </w:tblGrid>
      <w:tr>
        <w:trPr>
          <w:tblHeader/>
        </w:trPr>
        <w:tc>
          <w:tcPr>
            <w:tcW w:type="dxa" w:w="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ID</w:t>
            </w:r>
          </w:p>
        </w:tc>
        <w:tc>
          <w:tcPr>
            <w:tcW w:type="dxa" w:w="56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User Story</w:t>
            </w:r>
          </w:p>
        </w:tc>
        <w:tc>
          <w:tcPr>
            <w:tcW w:type="dxa" w:w="29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Acceptance Criteria</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US-10</w:t>
            </w:r>
          </w:p>
        </w:tc>
        <w:tc>
          <w:tcPr>
            <w:tcW w:type="dxa" w:w="5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As a user, I want to file GSTR-1 with a single guided flow that pre-fills data from my invoices so I don't have to enter the same data twice.</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Invoice data auto-mapped to GSTR-1 tables B2B, B2C, credit notes; user reviews before submission</w:t>
            </w:r>
          </w:p>
        </w:tc>
      </w:tr>
      <w:tr>
        <w:tc>
          <w:tcPr>
            <w:tcW w:type="dxa" w:w="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US-11</w:t>
            </w:r>
          </w:p>
        </w:tc>
        <w:tc>
          <w:tcPr>
            <w:tcW w:type="dxa" w:w="56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As a user, I want to see a preview of errors in my return before submission so I can fix them before they get rejected by the GSTN portal.</w:t>
            </w:r>
          </w:p>
        </w:tc>
        <w:tc>
          <w:tcPr>
            <w:tcW w:type="dxa" w:w="2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Pre-submission validation against GSTN schema; errors listed with field reference and fix suggestion</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US-12</w:t>
            </w:r>
          </w:p>
        </w:tc>
        <w:tc>
          <w:tcPr>
            <w:tcW w:type="dxa" w:w="5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As a user, I want to file GSTR-3B after reviewing my auto-calculated tax liability so I know what I'm paying before hitting submit.</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GSTR-3B pre-filled from GSTR-1 and ITC data; editable before final submission; liability breakdown shown</w:t>
            </w:r>
          </w:p>
        </w:tc>
      </w:tr>
      <w:tr>
        <w:tc>
          <w:tcPr>
            <w:tcW w:type="dxa" w:w="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US-13</w:t>
            </w:r>
          </w:p>
        </w:tc>
        <w:tc>
          <w:tcPr>
            <w:tcW w:type="dxa" w:w="56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As a user, I want confirmation and an acknowledgment number after filing so I have proof of submission.</w:t>
            </w:r>
          </w:p>
        </w:tc>
        <w:tc>
          <w:tcPr>
            <w:tcW w:type="dxa" w:w="2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ARN shown on success screen; stored in filing history; downloadable PDF receipt</w:t>
            </w:r>
          </w:p>
        </w:tc>
      </w:tr>
    </w:tbl>
    <w:p>
      <w:pPr>
        <w:spacing w:before="200"/>
      </w:pPr>
    </w:p>
    <w:p>
      <w:pPr>
        <w:pStyle w:val="Heading2"/>
        <w:spacing w:after="120" w:before="280"/>
      </w:pPr>
      <w:r>
        <w:rPr>
          <w:rFonts w:ascii="Arial" w:cs="Arial" w:eastAsia="Arial" w:hAnsi="Arial"/>
          <w:b/>
          <w:bCs/>
          <w:color w:val="2E75B6"/>
          <w:sz w:val="26"/>
          <w:szCs w:val="26"/>
        </w:rPr>
        <w:t xml:space="preserve">4.4 Liability &amp;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600"/>
        <w:gridCol w:w="2960"/>
      </w:tblGrid>
      <w:tr>
        <w:trPr>
          <w:tblHeader/>
        </w:trPr>
        <w:tc>
          <w:tcPr>
            <w:tcW w:type="dxa" w:w="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ID</w:t>
            </w:r>
          </w:p>
        </w:tc>
        <w:tc>
          <w:tcPr>
            <w:tcW w:type="dxa" w:w="56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User Story</w:t>
            </w:r>
          </w:p>
        </w:tc>
        <w:tc>
          <w:tcPr>
            <w:tcW w:type="dxa" w:w="29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Acceptance Criteria</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US-14</w:t>
            </w:r>
          </w:p>
        </w:tc>
        <w:tc>
          <w:tcPr>
            <w:tcW w:type="dxa" w:w="5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As a user, I want to see my estimated GST liability for the current month in real time so I'm not surprised on the due date.</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Live liability widget updated on each new invoice; breakdown by CGST/SGST/IGST; ITC offset shown</w:t>
            </w:r>
          </w:p>
        </w:tc>
      </w:tr>
      <w:tr>
        <w:tc>
          <w:tcPr>
            <w:tcW w:type="dxa" w:w="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US-15</w:t>
            </w:r>
          </w:p>
        </w:tc>
        <w:tc>
          <w:tcPr>
            <w:tcW w:type="dxa" w:w="56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As a user, I want automatic reminders before GSTR-1 and GSTR-3B due dates so I never miss a filing deadline.</w:t>
            </w:r>
          </w:p>
        </w:tc>
        <w:tc>
          <w:tcPr>
            <w:tcW w:type="dxa" w:w="2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Reminders sent 7 days and 1 day before due date via email and SMS; dismissable in-app</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US-16</w:t>
            </w:r>
          </w:p>
        </w:tc>
        <w:tc>
          <w:tcPr>
            <w:tcW w:type="dxa" w:w="5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As a user who has received a GST notice, I want a guided notice reply template so I can respond without hiring a CA for a simple clarification.</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Notice type dropdown triggers relevant template; fields auto-filled from user and invoice data</w:t>
            </w:r>
          </w:p>
        </w:tc>
      </w:tr>
    </w:tbl>
    <w:p>
      <w:r>
        <w:br w:type="page"/>
      </w:r>
    </w:p>
    <w:p>
      <w:pPr>
        <w:pStyle w:val="Heading1"/>
        <w:spacing w:after="160" w:before="360"/>
      </w:pPr>
      <w:r>
        <w:rPr>
          <w:rFonts w:ascii="Arial" w:cs="Arial" w:eastAsia="Arial" w:hAnsi="Arial"/>
          <w:b/>
          <w:bCs/>
          <w:color w:val="1A3C5E"/>
          <w:sz w:val="32"/>
          <w:szCs w:val="32"/>
        </w:rPr>
        <w:t xml:space="preserve">5. Feature Specifications</w:t>
      </w:r>
    </w:p>
    <w:p>
      <w:pPr>
        <w:pStyle w:val="Heading2"/>
        <w:spacing w:after="120" w:before="280"/>
      </w:pPr>
      <w:r>
        <w:rPr>
          <w:rFonts w:ascii="Arial" w:cs="Arial" w:eastAsia="Arial" w:hAnsi="Arial"/>
          <w:b/>
          <w:bCs/>
          <w:color w:val="2E75B6"/>
          <w:sz w:val="26"/>
          <w:szCs w:val="26"/>
        </w:rPr>
        <w:t xml:space="preserve">Feature Module 1: Invoicing Engine</w:t>
      </w:r>
    </w:p>
    <w:p>
      <w:pPr>
        <w:spacing w:after="60" w:before="60"/>
      </w:pPr>
      <w:r>
        <w:rPr>
          <w:rFonts w:ascii="Arial" w:cs="Arial" w:eastAsia="Arial" w:hAnsi="Arial"/>
          <w:b/>
          <w:bCs/>
          <w:sz w:val="20"/>
          <w:szCs w:val="20"/>
        </w:rPr>
        <w:t xml:space="preserve">Priority: P0 — Core. Must ship at launch.</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960"/>
        <w:gridCol w:w="2000"/>
      </w:tblGrid>
      <w:tr>
        <w:trPr>
          <w:tblHeader/>
        </w:trPr>
        <w:tc>
          <w:tcPr>
            <w:tcW w:type="dxa" w:w="32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32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9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GST Invoice Generator</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Create B2B/B2C invoices with all mandatory fields: GSTIN, HSN/SAC, tax rate, IGST/CGST/SGST auto-split by supply type</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State detection for IGST vs CGST/SGST</w:t>
            </w:r>
          </w:p>
        </w:tc>
      </w:tr>
      <w:tr>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e-Invoice / IRN Generation</w:t>
            </w:r>
          </w:p>
        </w:tc>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Auto-call IRP API to generate IRN, receive signed JSON, embed QR code per GSTN spec for eligible taxpayers</w:t>
            </w:r>
          </w:p>
        </w:tc>
        <w:tc>
          <w:tcPr>
            <w:tcW w:type="dxa" w:w="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P0</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Threshold: ₹5Cr+ currently</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PDF Export &amp; Email Delivery</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Professional PDF with logo, payment terms, GST summary; send via email with tracking pixel</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Custom branding on paid tier</w:t>
            </w:r>
          </w:p>
        </w:tc>
      </w:tr>
      <w:tr>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Invoice Templates</w:t>
            </w:r>
          </w:p>
        </w:tc>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3–5 pre-designed templates; custom logo upload; color customization</w:t>
            </w:r>
          </w:p>
        </w:tc>
        <w:tc>
          <w:tcPr>
            <w:tcW w:type="dxa" w:w="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P1</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Default template free; custom on paid</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Recurring Invoice Scheduler</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Set frequency (weekly/monthly), auto-generate and optionally auto-send; configurable per client</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P1</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
            </w:r>
          </w:p>
        </w:tc>
      </w:tr>
      <w:tr>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Credit Note / Debit Note</w:t>
            </w:r>
          </w:p>
        </w:tc>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Issue CN/DN against existing invoices; reflected in GSTR-1 automatically</w:t>
            </w:r>
          </w:p>
        </w:tc>
        <w:tc>
          <w:tcPr>
            <w:tcW w:type="dxa" w:w="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P1</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Required for B2B corrections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HSN/SAC Code Search</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Search and autofill HSN/SAC codes with tax rate suggestion based on goods/service description</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Built-in lookup table</w:t>
            </w:r>
          </w:p>
        </w:tc>
      </w:tr>
      <w:tr>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Multi-currency Invoicing</w:t>
            </w:r>
          </w:p>
        </w:tc>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USD/EUR/GBP invoices with INR GST calculation at RBI rate; useful for export freelancers</w:t>
            </w:r>
          </w:p>
        </w:tc>
        <w:tc>
          <w:tcPr>
            <w:tcW w:type="dxa" w:w="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P2</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Deferred if complex</w:t>
            </w:r>
          </w:p>
        </w:tc>
      </w:tr>
    </w:tbl>
    <w:p>
      <w:pPr>
        <w:spacing w:before="240"/>
      </w:pPr>
    </w:p>
    <w:p>
      <w:pPr>
        <w:pStyle w:val="Heading2"/>
        <w:spacing w:after="120" w:before="280"/>
      </w:pPr>
      <w:r>
        <w:rPr>
          <w:rFonts w:ascii="Arial" w:cs="Arial" w:eastAsia="Arial" w:hAnsi="Arial"/>
          <w:b/>
          <w:bCs/>
          <w:color w:val="2E75B6"/>
          <w:sz w:val="26"/>
          <w:szCs w:val="26"/>
        </w:rPr>
        <w:t xml:space="preserve">Feature Module 2: ITC Reconciliation Dashboard</w:t>
      </w:r>
    </w:p>
    <w:p>
      <w:pPr>
        <w:spacing w:after="60" w:before="60"/>
      </w:pPr>
      <w:r>
        <w:rPr>
          <w:rFonts w:ascii="Arial" w:cs="Arial" w:eastAsia="Arial" w:hAnsi="Arial"/>
          <w:b/>
          <w:bCs/>
          <w:sz w:val="20"/>
          <w:szCs w:val="20"/>
        </w:rPr>
        <w:t xml:space="preserve">Priority: P0 — Key differentiator. Most competitors do this poorly.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960"/>
        <w:gridCol w:w="2000"/>
      </w:tblGrid>
      <w:tr>
        <w:trPr>
          <w:tblHeader/>
        </w:trPr>
        <w:tc>
          <w:tcPr>
            <w:tcW w:type="dxa" w:w="32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32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9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GSTR-2B Auto-Pull</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OAuth-based pull from GST portal; fetch GSTR-2B monthly; parse and store line items</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OAuth2 via GSTN sandbox/prod API</w:t>
            </w:r>
          </w:p>
        </w:tc>
      </w:tr>
      <w:tr>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IMS Data Integration</w:t>
            </w:r>
          </w:p>
        </w:tc>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Pull Invoice Management System data for real-time accept/reject actions</w:t>
            </w:r>
          </w:p>
        </w:tc>
        <w:tc>
          <w:tcPr>
            <w:tcW w:type="dxa" w:w="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P0</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IMS launched Oct 2024; critical for accuracy</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Mismatch Detection Engine</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Compare purchase entries vs GSTR-2B: flag missing invoices, amount mismatches, GSTIN errors</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Tolerance threshold configurable</w:t>
            </w:r>
          </w:p>
        </w:tc>
      </w:tr>
      <w:tr>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One-Click Accept/Reject</w:t>
            </w:r>
          </w:p>
        </w:tc>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Per-line-item and bulk action for IMS records; immediately updates ITC available figure</w:t>
            </w:r>
          </w:p>
        </w:tc>
        <w:tc>
          <w:tcPr>
            <w:tcW w:type="dxa" w:w="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P0</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Audit trail of all actions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Supplier Filing Status</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Show which suppliers have not filed GSTR-1; flag ITC at-risk items; option to send reminder</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P1</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GSTN public API for supplier status</w:t>
            </w:r>
          </w:p>
        </w:tc>
      </w:tr>
      <w:tr>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ITC Summary Widget</w:t>
            </w:r>
          </w:p>
        </w:tc>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Total ITC available, claimed, pending reconciliation, and blocked — in a single card view</w:t>
            </w:r>
          </w:p>
        </w:tc>
        <w:tc>
          <w:tcPr>
            <w:tcW w:type="dxa" w:w="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P0</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Homepage/dashboard widget</w:t>
            </w:r>
          </w:p>
        </w:tc>
      </w:tr>
    </w:tbl>
    <w:p>
      <w:pPr>
        <w:spacing w:before="240"/>
      </w:pPr>
    </w:p>
    <w:p>
      <w:pPr>
        <w:pStyle w:val="Heading2"/>
        <w:spacing w:after="120" w:before="280"/>
      </w:pPr>
      <w:r>
        <w:rPr>
          <w:rFonts w:ascii="Arial" w:cs="Arial" w:eastAsia="Arial" w:hAnsi="Arial"/>
          <w:b/>
          <w:bCs/>
          <w:color w:val="2E75B6"/>
          <w:sz w:val="26"/>
          <w:szCs w:val="26"/>
        </w:rPr>
        <w:t xml:space="preserve">Feature Module 3: Return Filing Assistance</w:t>
      </w:r>
    </w:p>
    <w:p>
      <w:pPr>
        <w:spacing w:after="60" w:before="60"/>
      </w:pPr>
      <w:r>
        <w:rPr>
          <w:rFonts w:ascii="Arial" w:cs="Arial" w:eastAsia="Arial" w:hAnsi="Arial"/>
          <w:b/>
          <w:bCs/>
          <w:sz w:val="20"/>
          <w:szCs w:val="20"/>
        </w:rPr>
        <w:t xml:space="preserve">Priority: P0 — Primary retention driver. Users who file through GSTEase are stickiest.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960"/>
        <w:gridCol w:w="2000"/>
      </w:tblGrid>
      <w:tr>
        <w:trPr>
          <w:tblHeader/>
        </w:trPr>
        <w:tc>
          <w:tcPr>
            <w:tcW w:type="dxa" w:w="32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32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9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GSTR-1 Guided Filing</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Step-by-step wizard; auto-populate B2B, B2C, HSN summary, credit notes from invoice data; review screen before submit</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GSTN API for direct filing</w:t>
            </w:r>
          </w:p>
        </w:tc>
      </w:tr>
      <w:tr>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GSTR-3B Guided Filing</w:t>
            </w:r>
          </w:p>
        </w:tc>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Pre-fill from GSTR-1 and ITC reconciliation; show tax payable breakdown; submit via GSTN API</w:t>
            </w:r>
          </w:p>
        </w:tc>
        <w:tc>
          <w:tcPr>
            <w:tcW w:type="dxa" w:w="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P0</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Block submission if GSTR-1 not filed</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Pre-submission Validation</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Run GSTN schema checks before API call; surface field-level errors with plain-English fix suggestions</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Reduces rejection rate to near zero</w:t>
            </w:r>
          </w:p>
        </w:tc>
      </w:tr>
      <w:tr>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Filing History</w:t>
            </w:r>
          </w:p>
        </w:tc>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Full log of filed returns with ARN, date, period, status; downloadable acknowledgment PDF</w:t>
            </w:r>
          </w:p>
        </w:tc>
        <w:tc>
          <w:tcPr>
            <w:tcW w:type="dxa" w:w="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P0</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Required for compliance audit</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Amended Return Support</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GSTR-1A and 3B amendment flow for corrections post-filing</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P1</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Required for error correction</w:t>
            </w:r>
          </w:p>
        </w:tc>
      </w:tr>
    </w:tbl>
    <w:p>
      <w:pPr>
        <w:spacing w:before="240"/>
      </w:pPr>
    </w:p>
    <w:p>
      <w:pPr>
        <w:pStyle w:val="Heading2"/>
        <w:spacing w:after="120" w:before="280"/>
      </w:pPr>
      <w:r>
        <w:rPr>
          <w:rFonts w:ascii="Arial" w:cs="Arial" w:eastAsia="Arial" w:hAnsi="Arial"/>
          <w:b/>
          <w:bCs/>
          <w:color w:val="2E75B6"/>
          <w:sz w:val="26"/>
          <w:szCs w:val="26"/>
        </w:rPr>
        <w:t xml:space="preserve">Feature Module 4: GST Liability &amp; Payments</w:t>
      </w:r>
    </w:p>
    <w:p>
      <w:pPr>
        <w:spacing w:after="60" w:before="60"/>
      </w:pPr>
      <w:r>
        <w:rPr>
          <w:rFonts w:ascii="Arial" w:cs="Arial" w:eastAsia="Arial" w:hAnsi="Arial"/>
          <w:b/>
          <w:bCs/>
          <w:sz w:val="20"/>
          <w:szCs w:val="20"/>
        </w:rPr>
        <w:t xml:space="preserve">Priority: P0 for liability calculator; P1 for notice helper.</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960"/>
        <w:gridCol w:w="2000"/>
      </w:tblGrid>
      <w:tr>
        <w:trPr>
          <w:tblHeader/>
        </w:trPr>
        <w:tc>
          <w:tcPr>
            <w:tcW w:type="dxa" w:w="32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32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9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Real-time Liability Calculator</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Running total of output tax, ITC offset, and net payable; updated on every invoice save</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CGST/SGST/IGST breakdown</w:t>
            </w:r>
          </w:p>
        </w:tc>
      </w:tr>
      <w:tr>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Due Date Reminders</w:t>
            </w:r>
          </w:p>
        </w:tc>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Email + SMS + in-app alerts at 7-day and 1-day marks for GSTR-1, GSTR-3B, and payment deadlines</w:t>
            </w:r>
          </w:p>
        </w:tc>
        <w:tc>
          <w:tcPr>
            <w:tcW w:type="dxa" w:w="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P0</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Configurable by user</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Late Fee &amp; Interest Calculator</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Auto-calculate late fee (₹50/day up to ₹5,000) and 18% interest for missed deadlines; show alert if filing is late</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P1</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Adds urgency to reminders</w:t>
            </w:r>
          </w:p>
        </w:tc>
      </w:tr>
      <w:tr>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Notice Reply Helper</w:t>
            </w:r>
          </w:p>
        </w:tc>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Template library for common GST notices (ASMT-10, DRC-01, etc.); auto-fill user data; export as Word/PDF</w:t>
            </w:r>
          </w:p>
        </w:tc>
        <w:tc>
          <w:tcPr>
            <w:tcW w:type="dxa" w:w="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P1</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Not legal advice disclaimer required</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PMT-06 Challan Generation</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Generate GST payment challan with pre-filled amounts for CGST/SGST/IGST/Cess; redirect to GST portal</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Cannot process actual payment; redirect model</w:t>
            </w:r>
          </w:p>
        </w:tc>
      </w:tr>
    </w:tbl>
    <w:p>
      <w:pPr>
        <w:spacing w:before="240"/>
      </w:pPr>
    </w:p>
    <w:p>
      <w:pPr>
        <w:pStyle w:val="Heading2"/>
        <w:spacing w:after="120" w:before="280"/>
      </w:pPr>
      <w:r>
        <w:rPr>
          <w:rFonts w:ascii="Arial" w:cs="Arial" w:eastAsia="Arial" w:hAnsi="Arial"/>
          <w:b/>
          <w:bCs/>
          <w:color w:val="2E75B6"/>
          <w:sz w:val="26"/>
          <w:szCs w:val="26"/>
        </w:rPr>
        <w:t xml:space="preserve">Feature Module 5: Payment Links &amp; Invoice Tracking</w:t>
      </w:r>
    </w:p>
    <w:p>
      <w:pPr>
        <w:spacing w:after="60" w:before="60"/>
      </w:pPr>
      <w:r>
        <w:rPr>
          <w:rFonts w:ascii="Arial" w:cs="Arial" w:eastAsia="Arial" w:hAnsi="Arial"/>
          <w:b/>
          <w:bCs/>
          <w:sz w:val="20"/>
          <w:szCs w:val="20"/>
        </w:rPr>
        <w:t xml:space="preserve">Priority: P1 — Increases product stickiness and daily active usage.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960"/>
        <w:gridCol w:w="2000"/>
      </w:tblGrid>
      <w:tr>
        <w:trPr>
          <w:tblHeader/>
        </w:trPr>
        <w:tc>
          <w:tcPr>
            <w:tcW w:type="dxa" w:w="32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32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9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UPI Payment Link Generator</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Generate UPI deeplink (pa=VPAGSTIN&amp;am=AMOUNT) and QR; embed in invoice PDF and email</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P1</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No payment processing fee — just link generation</w:t>
            </w:r>
          </w:p>
        </w:tc>
      </w:tr>
      <w:tr>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Bank Transfer Details</w:t>
            </w:r>
          </w:p>
        </w:tc>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Add saved bank account details to invoice footer; pre-filled NEFT/RTGS format</w:t>
            </w:r>
          </w:p>
        </w:tc>
        <w:tc>
          <w:tcPr>
            <w:tcW w:type="dxa" w:w="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P1</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Static display; no processing</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Payment Status Tracking</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Mark invoices as paid manually or via webhook from payment gateway integration</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P1</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Razorpay/Cashfree webhook in P2</w:t>
            </w:r>
          </w:p>
        </w:tc>
      </w:tr>
      <w:tr>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Accounts Receivable Dashboard</w:t>
            </w:r>
          </w:p>
        </w:tc>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Summary: total outstanding, overdue by aging bucket (0–30, 31–60, 60+ days), top overdue clients</w:t>
            </w:r>
          </w:p>
        </w:tc>
        <w:tc>
          <w:tcPr>
            <w:tcW w:type="dxa" w:w="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P1</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Simple aging report</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Payment Reminder Emails</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Automated client-facing email reminders at due date and 7 days post-due; customizable message</w:t>
            </w:r>
          </w:p>
        </w:tc>
        <w:tc>
          <w:tcPr>
            <w:tcW w:type="dxa" w:w="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P2</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Requires email sending infrastructure</w:t>
            </w:r>
          </w:p>
        </w:tc>
      </w:tr>
    </w:tbl>
    <w:p>
      <w:r>
        <w:br w:type="page"/>
      </w:r>
    </w:p>
    <w:p>
      <w:pPr>
        <w:pStyle w:val="Heading1"/>
        <w:spacing w:after="160" w:before="360"/>
      </w:pPr>
      <w:r>
        <w:rPr>
          <w:rFonts w:ascii="Arial" w:cs="Arial" w:eastAsia="Arial" w:hAnsi="Arial"/>
          <w:b/>
          <w:bCs/>
          <w:color w:val="1A3C5E"/>
          <w:sz w:val="32"/>
          <w:szCs w:val="32"/>
        </w:rPr>
        <w:t xml:space="preserve">6. Technical &amp; Compliance Requirements</w:t>
      </w:r>
    </w:p>
    <w:p>
      <w:pPr>
        <w:pStyle w:val="Heading2"/>
        <w:spacing w:after="120" w:before="280"/>
      </w:pPr>
      <w:r>
        <w:rPr>
          <w:rFonts w:ascii="Arial" w:cs="Arial" w:eastAsia="Arial" w:hAnsi="Arial"/>
          <w:b/>
          <w:bCs/>
          <w:color w:val="2E75B6"/>
          <w:sz w:val="26"/>
          <w:szCs w:val="26"/>
        </w:rPr>
        <w:t xml:space="preserve">6.1 GSTN API Integrations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API / System</w:t>
            </w:r>
          </w:p>
        </w:tc>
        <w:tc>
          <w:tcPr>
            <w:tcW w:type="dxa" w:w="42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c>
          <w:tcPr>
            <w:tcW w:type="dxa" w:w="23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Auth Method</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IRP (Invoice Registration Portal)</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IRN generation, signed e-invoice JSON, QR code</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GSP credentials or direct API</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GSTN Returns API</w:t>
            </w:r>
          </w:p>
        </w:tc>
        <w:tc>
          <w:tcPr>
            <w:tcW w:type="dxa" w:w="4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GSTR-1 and GSTR-3B filing, filing status check</w:t>
            </w:r>
          </w:p>
        </w:tc>
        <w:tc>
          <w:tcPr>
            <w:tcW w:type="dxa" w:w="23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EVC / DSC / OTP-based auth</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GSTR-2B Fetch API</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Pull monthly ITC statement for reconciliation</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GSTN OAuth2 / user consent</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IMS API</w:t>
            </w:r>
          </w:p>
        </w:tc>
        <w:tc>
          <w:tcPr>
            <w:tcW w:type="dxa" w:w="4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Fetch and update invoice management actions (accept/reject)</w:t>
            </w:r>
          </w:p>
        </w:tc>
        <w:tc>
          <w:tcPr>
            <w:tcW w:type="dxa" w:w="23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GSTN OAuth2</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GSTN Public APIs</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Taxpayer GSTIN validation, supplier filing status check</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Public / API key</w:t>
            </w:r>
          </w:p>
        </w:tc>
      </w:tr>
    </w:tbl>
    <w:p>
      <w:pPr>
        <w:spacing w:before="200"/>
      </w:pPr>
    </w:p>
    <w:p>
      <w:pPr>
        <w:pStyle w:val="Heading2"/>
        <w:spacing w:after="120" w:before="280"/>
      </w:pPr>
      <w:r>
        <w:rPr>
          <w:rFonts w:ascii="Arial" w:cs="Arial" w:eastAsia="Arial" w:hAnsi="Arial"/>
          <w:b/>
          <w:bCs/>
          <w:color w:val="2E75B6"/>
          <w:sz w:val="26"/>
          <w:szCs w:val="26"/>
        </w:rPr>
        <w:t xml:space="preserve">6.2 GSP (GST Suvidha Provider) Requirement</w:t>
      </w:r>
    </w:p>
    <w:p>
      <w:pPr>
        <w:spacing w:after="60" w:before="60"/>
      </w:pPr>
      <w:r>
        <w:rPr>
          <w:rFonts w:ascii="Arial" w:cs="Arial" w:eastAsia="Arial" w:hAnsi="Arial"/>
          <w:b w:val="false"/>
          <w:bCs w:val="false"/>
          <w:sz w:val="20"/>
          <w:szCs w:val="20"/>
        </w:rPr>
        <w:t xml:space="preserve">Direct GSTN API access requires the platform to integrate through an approved GSP. GSTEase must partner with a licensed GSP (e.g., Masters India, IRIS Business, Karvy Fintech) or apply for GSP license. This is a business-critical dependency with a 3–6 month lead time. This must be initiated before product development begins.</w:t>
      </w:r>
    </w:p>
    <w:p>
      <w:pPr>
        <w:spacing w:before="120"/>
      </w:pPr>
    </w:p>
    <w:p>
      <w:pPr>
        <w:pStyle w:val="Heading2"/>
        <w:spacing w:after="120" w:before="280"/>
      </w:pPr>
      <w:r>
        <w:rPr>
          <w:rFonts w:ascii="Arial" w:cs="Arial" w:eastAsia="Arial" w:hAnsi="Arial"/>
          <w:b/>
          <w:bCs/>
          <w:color w:val="2E75B6"/>
          <w:sz w:val="26"/>
          <w:szCs w:val="26"/>
        </w:rPr>
        <w:t xml:space="preserve">6.3 Core Technical Constraints</w:t>
      </w:r>
    </w:p>
    <w:p>
      <w:pPr>
        <w:pStyle w:val="ListParagraph"/>
        <w:numPr>
          <w:ilvl w:val="0"/>
          <w:numId w:val="2"/>
        </w:numPr>
        <w:spacing w:after="40" w:before="40"/>
      </w:pPr>
      <w:r>
        <w:rPr>
          <w:rFonts w:ascii="Arial" w:cs="Arial" w:eastAsia="Arial" w:hAnsi="Arial"/>
          <w:b w:val="false"/>
          <w:bCs w:val="false"/>
          <w:sz w:val="20"/>
          <w:szCs w:val="20"/>
        </w:rPr>
        <w:t xml:space="preserve">All invoice data must be stored with AES-256 encryption at rest</w:t>
      </w:r>
    </w:p>
    <w:p>
      <w:pPr>
        <w:pStyle w:val="ListParagraph"/>
        <w:numPr>
          <w:ilvl w:val="0"/>
          <w:numId w:val="2"/>
        </w:numPr>
        <w:spacing w:after="40" w:before="40"/>
      </w:pPr>
      <w:r>
        <w:rPr>
          <w:rFonts w:ascii="Arial" w:cs="Arial" w:eastAsia="Arial" w:hAnsi="Arial"/>
          <w:b w:val="false"/>
          <w:bCs w:val="false"/>
          <w:sz w:val="20"/>
          <w:szCs w:val="20"/>
        </w:rPr>
        <w:t xml:space="preserve">GSTN API tokens must be handled server-side only — never exposed to client</w:t>
      </w:r>
    </w:p>
    <w:p>
      <w:pPr>
        <w:pStyle w:val="ListParagraph"/>
        <w:numPr>
          <w:ilvl w:val="0"/>
          <w:numId w:val="2"/>
        </w:numPr>
        <w:spacing w:after="40" w:before="40"/>
      </w:pPr>
      <w:r>
        <w:rPr>
          <w:rFonts w:ascii="Arial" w:cs="Arial" w:eastAsia="Arial" w:hAnsi="Arial"/>
          <w:b w:val="false"/>
          <w:bCs w:val="false"/>
          <w:sz w:val="20"/>
          <w:szCs w:val="20"/>
        </w:rPr>
        <w:t xml:space="preserve">IRN must be generated within 24 hours of invoice date to avoid cancellation penalty</w:t>
      </w:r>
    </w:p>
    <w:p>
      <w:pPr>
        <w:pStyle w:val="ListParagraph"/>
        <w:numPr>
          <w:ilvl w:val="0"/>
          <w:numId w:val="2"/>
        </w:numPr>
        <w:spacing w:after="40" w:before="40"/>
      </w:pPr>
      <w:r>
        <w:rPr>
          <w:rFonts w:ascii="Arial" w:cs="Arial" w:eastAsia="Arial" w:hAnsi="Arial"/>
          <w:b w:val="false"/>
          <w:bCs w:val="false"/>
          <w:sz w:val="20"/>
          <w:szCs w:val="20"/>
        </w:rPr>
        <w:t xml:space="preserve">GSTR-1 JSON must conform exactly to GSTN schema version in force at time of filing — schema updates must be tracked and deployed proactively</w:t>
      </w:r>
    </w:p>
    <w:p>
      <w:pPr>
        <w:pStyle w:val="ListParagraph"/>
        <w:numPr>
          <w:ilvl w:val="0"/>
          <w:numId w:val="2"/>
        </w:numPr>
        <w:spacing w:after="40" w:before="40"/>
      </w:pPr>
      <w:r>
        <w:rPr>
          <w:rFonts w:ascii="Arial" w:cs="Arial" w:eastAsia="Arial" w:hAnsi="Arial"/>
          <w:b w:val="false"/>
          <w:bCs w:val="false"/>
          <w:sz w:val="20"/>
          <w:szCs w:val="20"/>
        </w:rPr>
        <w:t xml:space="preserve">System must handle GSTN API downtime gracefully — queue IRN requests with retry; show clear status to user</w:t>
      </w:r>
    </w:p>
    <w:p>
      <w:pPr>
        <w:pStyle w:val="ListParagraph"/>
        <w:numPr>
          <w:ilvl w:val="0"/>
          <w:numId w:val="2"/>
        </w:numPr>
        <w:spacing w:after="40" w:before="40"/>
      </w:pPr>
      <w:r>
        <w:rPr>
          <w:rFonts w:ascii="Arial" w:cs="Arial" w:eastAsia="Arial" w:hAnsi="Arial"/>
          <w:b w:val="false"/>
          <w:bCs w:val="false"/>
          <w:sz w:val="20"/>
          <w:szCs w:val="20"/>
        </w:rPr>
        <w:t xml:space="preserve">e-Invoice QR code must pass NIC's QR verification app scan before PDF is delivered to user</w:t>
      </w:r>
    </w:p>
    <w:p>
      <w:pPr>
        <w:spacing w:before="120"/>
      </w:pPr>
    </w:p>
    <w:p>
      <w:pPr>
        <w:pStyle w:val="Heading2"/>
        <w:spacing w:after="120" w:before="280"/>
      </w:pPr>
      <w:r>
        <w:rPr>
          <w:rFonts w:ascii="Arial" w:cs="Arial" w:eastAsia="Arial" w:hAnsi="Arial"/>
          <w:b/>
          <w:bCs/>
          <w:color w:val="2E75B6"/>
          <w:sz w:val="26"/>
          <w:szCs w:val="26"/>
        </w:rPr>
        <w:t xml:space="preserve">6.4 Infrastructure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Requirement</w:t>
            </w:r>
          </w:p>
        </w:tc>
        <w:tc>
          <w:tcPr>
            <w:tcW w:type="dxa" w:w="6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Specification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Uptime SLA</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99.5% uptime, with 99.9% target on the 7th, 11th, and 20th of each month (peak filing dates)</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Data Residency</w:t>
            </w:r>
          </w:p>
        </w:tc>
        <w:tc>
          <w:tcPr>
            <w:tcW w:type="dxa" w:w="6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All data stored on AWS ap-south-1 (Mumbai) or equivalent India-region cloud</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Disaster Recovery</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RPO: 1 hour, RTO: 4 hours; daily automated backups with weekly restoration test</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GSTN API Rate Limiting</w:t>
            </w:r>
          </w:p>
        </w:tc>
        <w:tc>
          <w:tcPr>
            <w:tcW w:type="dxa" w:w="6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Implement client-side throttle and queue to stay within GSTN-prescribed rate limits per GSTIN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Mobile Responsiveness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Full invoicing workflow usable on mobile browser; no native app required in v1.0</w:t>
            </w:r>
          </w:p>
        </w:tc>
      </w:tr>
    </w:tbl>
    <w:p>
      <w:r>
        <w:br w:type="page"/>
      </w:r>
    </w:p>
    <w:p>
      <w:pPr>
        <w:pStyle w:val="Heading1"/>
        <w:spacing w:after="160" w:before="360"/>
      </w:pPr>
      <w:r>
        <w:rPr>
          <w:rFonts w:ascii="Arial" w:cs="Arial" w:eastAsia="Arial" w:hAnsi="Arial"/>
          <w:b/>
          <w:bCs/>
          <w:color w:val="1A3C5E"/>
          <w:sz w:val="32"/>
          <w:szCs w:val="32"/>
        </w:rPr>
        <w:t xml:space="preserve">7. Pricing Architecture</w:t>
      </w:r>
    </w:p>
    <w:p>
      <w:pPr>
        <w:spacing w:after="60" w:before="60"/>
      </w:pPr>
      <w:r>
        <w:rPr>
          <w:rFonts w:ascii="Arial" w:cs="Arial" w:eastAsia="Arial" w:hAnsi="Arial"/>
          <w:b w:val="false"/>
          <w:bCs w:val="false"/>
          <w:sz w:val="20"/>
          <w:szCs w:val="20"/>
        </w:rPr>
        <w:t xml:space="preserve">Pricing must be low enough to displace the CA-for-filing use case (typically ₹2,000–₹5,000/month) while still converting. The free tier must be genuinely useful — not a crippled demo — to drive word-of-mouth adoption.</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630"/>
        <w:gridCol w:w="2630"/>
      </w:tblGrid>
      <w:tr>
        <w:trPr>
          <w:tblHeader/>
        </w:trPr>
        <w:tc>
          <w:tcPr>
            <w:tcW w:type="dxa" w:w="16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
            </w:r>
          </w:p>
        </w:tc>
        <w:tc>
          <w:tcPr>
            <w:tcW w:type="dxa" w:w="25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Free (Starter)</w:t>
            </w:r>
          </w:p>
        </w:tc>
        <w:tc>
          <w:tcPr>
            <w:tcW w:type="dxa" w:w="263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Pro (₹499/mo)</w:t>
            </w:r>
          </w:p>
        </w:tc>
        <w:tc>
          <w:tcPr>
            <w:tcW w:type="dxa" w:w="263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Growth (₹999/mo)</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Invoices/month</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Up to 10</w:t>
            </w:r>
          </w:p>
        </w:tc>
        <w:tc>
          <w:tcPr>
            <w:tcW w:type="dxa" w:w="26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Unlimited</w:t>
            </w:r>
          </w:p>
        </w:tc>
        <w:tc>
          <w:tcPr>
            <w:tcW w:type="dxa" w:w="26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Unlimited</w:t>
            </w:r>
          </w:p>
        </w:tc>
      </w:tr>
      <w:tr>
        <w:tc>
          <w:tcPr>
            <w:tcW w:type="dxa" w:w="16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e-Invoice/IRN</w:t>
            </w:r>
          </w:p>
        </w:tc>
        <w:tc>
          <w:tcPr>
            <w:tcW w:type="dxa" w:w="2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Not included</w:t>
            </w:r>
          </w:p>
        </w:tc>
        <w:tc>
          <w:tcPr>
            <w:tcW w:type="dxa" w:w="263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Included</w:t>
            </w:r>
          </w:p>
        </w:tc>
        <w:tc>
          <w:tcPr>
            <w:tcW w:type="dxa" w:w="263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Included</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ITC Reconciliation</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Manual upload only</w:t>
            </w:r>
          </w:p>
        </w:tc>
        <w:tc>
          <w:tcPr>
            <w:tcW w:type="dxa" w:w="26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Auto-pull GSTR-2B</w:t>
            </w:r>
          </w:p>
        </w:tc>
        <w:tc>
          <w:tcPr>
            <w:tcW w:type="dxa" w:w="26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Auto-pull + IMS</w:t>
            </w:r>
          </w:p>
        </w:tc>
      </w:tr>
      <w:tr>
        <w:tc>
          <w:tcPr>
            <w:tcW w:type="dxa" w:w="16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Return Filing</w:t>
            </w:r>
          </w:p>
        </w:tc>
        <w:tc>
          <w:tcPr>
            <w:tcW w:type="dxa" w:w="2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GSTR-1 only</w:t>
            </w:r>
          </w:p>
        </w:tc>
        <w:tc>
          <w:tcPr>
            <w:tcW w:type="dxa" w:w="263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GSTR-1 + GSTR-3B</w:t>
            </w:r>
          </w:p>
        </w:tc>
        <w:tc>
          <w:tcPr>
            <w:tcW w:type="dxa" w:w="263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GSTR-1 + GSTR-3B + amendments</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Notice Helper</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Not included</w:t>
            </w:r>
          </w:p>
        </w:tc>
        <w:tc>
          <w:tcPr>
            <w:tcW w:type="dxa" w:w="26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3 templates</w:t>
            </w:r>
          </w:p>
        </w:tc>
        <w:tc>
          <w:tcPr>
            <w:tcW w:type="dxa" w:w="26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Full library</w:t>
            </w:r>
          </w:p>
        </w:tc>
      </w:tr>
      <w:tr>
        <w:tc>
          <w:tcPr>
            <w:tcW w:type="dxa" w:w="16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Payment Links</w:t>
            </w:r>
          </w:p>
        </w:tc>
        <w:tc>
          <w:tcPr>
            <w:tcW w:type="dxa" w:w="2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UPI only</w:t>
            </w:r>
          </w:p>
        </w:tc>
        <w:tc>
          <w:tcPr>
            <w:tcW w:type="dxa" w:w="263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UPI + bank details</w:t>
            </w:r>
          </w:p>
        </w:tc>
        <w:tc>
          <w:tcPr>
            <w:tcW w:type="dxa" w:w="263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UPI + bank + auto-reminders</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Custom Branding</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GSTEase logo on invoice</w:t>
            </w:r>
          </w:p>
        </w:tc>
        <w:tc>
          <w:tcPr>
            <w:tcW w:type="dxa" w:w="26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Custom logo</w:t>
            </w:r>
          </w:p>
        </w:tc>
        <w:tc>
          <w:tcPr>
            <w:tcW w:type="dxa" w:w="26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Full white-label PDF</w:t>
            </w:r>
          </w:p>
        </w:tc>
      </w:tr>
      <w:tr>
        <w:tc>
          <w:tcPr>
            <w:tcW w:type="dxa" w:w="16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Support</w:t>
            </w:r>
          </w:p>
        </w:tc>
        <w:tc>
          <w:tcPr>
            <w:tcW w:type="dxa" w:w="2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Email (48hr SLA)</w:t>
            </w:r>
          </w:p>
        </w:tc>
        <w:tc>
          <w:tcPr>
            <w:tcW w:type="dxa" w:w="263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Email (24hr SLA)</w:t>
            </w:r>
          </w:p>
        </w:tc>
        <w:tc>
          <w:tcPr>
            <w:tcW w:type="dxa" w:w="263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Priority chat support</w:t>
            </w:r>
          </w:p>
        </w:tc>
      </w:tr>
    </w:tbl>
    <w:p>
      <w:pPr>
        <w:spacing w:before="160"/>
      </w:pPr>
    </w:p>
    <w:p>
      <w:pPr>
        <w:spacing w:after="60" w:before="60"/>
      </w:pPr>
      <w:r>
        <w:rPr>
          <w:rFonts w:ascii="Arial" w:cs="Arial" w:eastAsia="Arial" w:hAnsi="Arial"/>
          <w:b w:val="false"/>
          <w:bCs w:val="false"/>
          <w:sz w:val="20"/>
          <w:szCs w:val="20"/>
        </w:rPr>
        <w:t xml:space="preserve">Annual plans offered at 2 months free (effective 17% discount). CA/accountant referral program in roadmap for v1.1.</w:t>
      </w:r>
    </w:p>
    <w:p>
      <w:r>
        <w:br w:type="page"/>
      </w:r>
    </w:p>
    <w:p>
      <w:pPr>
        <w:pStyle w:val="Heading1"/>
        <w:spacing w:after="160" w:before="360"/>
      </w:pPr>
      <w:r>
        <w:rPr>
          <w:rFonts w:ascii="Arial" w:cs="Arial" w:eastAsia="Arial" w:hAnsi="Arial"/>
          <w:b/>
          <w:bCs/>
          <w:color w:val="1A3C5E"/>
          <w:sz w:val="32"/>
          <w:szCs w:val="32"/>
        </w:rPr>
        <w:t xml:space="preserve">8. Success Metrics &amp; KPIs</w:t>
      </w:r>
    </w:p>
    <w:p>
      <w:pPr>
        <w:pStyle w:val="Heading2"/>
        <w:spacing w:after="120" w:before="280"/>
      </w:pPr>
      <w:r>
        <w:rPr>
          <w:rFonts w:ascii="Arial" w:cs="Arial" w:eastAsia="Arial" w:hAnsi="Arial"/>
          <w:b/>
          <w:bCs/>
          <w:color w:val="2E75B6"/>
          <w:sz w:val="26"/>
          <w:szCs w:val="26"/>
        </w:rPr>
        <w:t xml:space="preserve">8.1 Acquisition &amp; Activation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960"/>
      </w:tblGrid>
      <w:tr>
        <w:trPr>
          <w:tblHeader/>
        </w:trPr>
        <w:tc>
          <w:tcPr>
            <w:tcW w:type="dxa" w:w="34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Month 3 Target</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Month 6 Target</w:t>
            </w:r>
          </w:p>
        </w:tc>
        <w:tc>
          <w:tcPr>
            <w:tcW w:type="dxa" w:w="19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Month 12 Target</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Registered users (cumulative)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1,500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4,500</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10,000</w:t>
            </w:r>
          </w:p>
        </w:tc>
      </w:tr>
      <w:tr>
        <w:tc>
          <w:tcPr>
            <w:tcW w:type="dxa" w:w="34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Activated users (≥1 invoice created)</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60% of registered</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65%</w:t>
            </w:r>
          </w:p>
        </w:tc>
        <w:tc>
          <w:tcPr>
            <w:tcW w:type="dxa" w:w="1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70%</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Time-to-first-invoice (median)</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&lt; 8 min</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&lt; 6 min</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&lt; 5 min</w:t>
            </w:r>
          </w:p>
        </w:tc>
      </w:tr>
      <w:tr>
        <w:tc>
          <w:tcPr>
            <w:tcW w:type="dxa" w:w="34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Free-to-paid conversion rate</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8%</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12%</w:t>
            </w:r>
          </w:p>
        </w:tc>
        <w:tc>
          <w:tcPr>
            <w:tcW w:type="dxa" w:w="1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15%</w:t>
            </w:r>
          </w:p>
        </w:tc>
      </w:tr>
    </w:tbl>
    <w:p>
      <w:pPr>
        <w:spacing w:before="200"/>
      </w:pPr>
    </w:p>
    <w:p>
      <w:pPr>
        <w:pStyle w:val="Heading2"/>
        <w:spacing w:after="120" w:before="280"/>
      </w:pPr>
      <w:r>
        <w:rPr>
          <w:rFonts w:ascii="Arial" w:cs="Arial" w:eastAsia="Arial" w:hAnsi="Arial"/>
          <w:b/>
          <w:bCs/>
          <w:color w:val="2E75B6"/>
          <w:sz w:val="26"/>
          <w:szCs w:val="26"/>
        </w:rPr>
        <w:t xml:space="preserve">8.2 Engagement &amp; Retention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960"/>
      </w:tblGrid>
      <w:tr>
        <w:trPr>
          <w:tblHeader/>
        </w:trPr>
        <w:tc>
          <w:tcPr>
            <w:tcW w:type="dxa" w:w="34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Month 3 Target</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Month 6 Target</w:t>
            </w:r>
          </w:p>
        </w:tc>
        <w:tc>
          <w:tcPr>
            <w:tcW w:type="dxa" w:w="19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Month 12 Target</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Monthly active users / registered users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35%</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45%</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50%</w:t>
            </w:r>
          </w:p>
        </w:tc>
      </w:tr>
      <w:tr>
        <w:tc>
          <w:tcPr>
            <w:tcW w:type="dxa" w:w="34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Paid user monthly churn rate</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&lt; 8%</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&lt; 6%</w:t>
            </w:r>
          </w:p>
        </w:tc>
        <w:tc>
          <w:tcPr>
            <w:tcW w:type="dxa" w:w="1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&lt; 5%</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Returns filed via GSTEase (cumulative)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500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3,000</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12,000</w:t>
            </w:r>
          </w:p>
        </w:tc>
      </w:tr>
      <w:tr>
        <w:tc>
          <w:tcPr>
            <w:tcW w:type="dxa" w:w="34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ITC reconciliation sessions per user/month</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 1 per paid user</w:t>
            </w:r>
          </w:p>
        </w:tc>
        <w:tc>
          <w:tcPr>
            <w:tcW w:type="dxa" w:w="1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 1.5 per paid user</w:t>
            </w:r>
          </w:p>
        </w:tc>
      </w:tr>
    </w:tbl>
    <w:p>
      <w:pPr>
        <w:spacing w:before="200"/>
      </w:pPr>
    </w:p>
    <w:p>
      <w:pPr>
        <w:pStyle w:val="Heading2"/>
        <w:spacing w:after="120" w:before="280"/>
      </w:pPr>
      <w:r>
        <w:rPr>
          <w:rFonts w:ascii="Arial" w:cs="Arial" w:eastAsia="Arial" w:hAnsi="Arial"/>
          <w:b/>
          <w:bCs/>
          <w:color w:val="2E75B6"/>
          <w:sz w:val="26"/>
          <w:szCs w:val="26"/>
        </w:rPr>
        <w:t xml:space="preserve">8.3 Quality &amp; Compliance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48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Target</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GSTN return rejection rate (GSTEase-filed returns)</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&lt; 2% (vs estimated 8–12% on direct portal filing)</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IRN generation success rate (first attempt)</w:t>
            </w:r>
          </w:p>
        </w:tc>
        <w:tc>
          <w:tcPr>
            <w:tcW w:type="dxa" w:w="48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&gt; 97%</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GSTR-2B auto-pull success rate</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&gt; 95% of scheduled pulls succeed without user intervention</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Support ticket rate for compliance errors</w:t>
            </w:r>
          </w:p>
        </w:tc>
        <w:tc>
          <w:tcPr>
            <w:tcW w:type="dxa" w:w="48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&lt; 5% of MAU raise a compliance-related ticket</w:t>
            </w:r>
          </w:p>
        </w:tc>
      </w:tr>
    </w:tbl>
    <w:p>
      <w:pPr>
        <w:spacing w:before="200"/>
      </w:pPr>
    </w:p>
    <w:p>
      <w:pPr>
        <w:pStyle w:val="Heading2"/>
        <w:spacing w:after="120" w:before="280"/>
      </w:pPr>
      <w:r>
        <w:rPr>
          <w:rFonts w:ascii="Arial" w:cs="Arial" w:eastAsia="Arial" w:hAnsi="Arial"/>
          <w:b/>
          <w:bCs/>
          <w:color w:val="2E75B6"/>
          <w:sz w:val="26"/>
          <w:szCs w:val="26"/>
        </w:rPr>
        <w:t xml:space="preserve">8.4 Revenue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48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Month 12 Target</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Monthly Recurring Revenue (MRR)</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₹15L+</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Average Revenue Per Paid User (ARPU)</w:t>
            </w:r>
          </w:p>
        </w:tc>
        <w:tc>
          <w:tcPr>
            <w:tcW w:type="dxa" w:w="48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₹600–₹700/month (blended Pro + Growth)</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Customer Acquisition Cost (CAC)</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&lt; ₹800 blended across channels</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LTV:CAC Ratio</w:t>
            </w:r>
          </w:p>
        </w:tc>
        <w:tc>
          <w:tcPr>
            <w:tcW w:type="dxa" w:w="48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&gt; 3:1 at 12-month LTV</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Net Promoter Score (NPS)</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&gt; 50</w:t>
            </w:r>
          </w:p>
        </w:tc>
      </w:tr>
    </w:tbl>
    <w:p>
      <w:r>
        <w:br w:type="page"/>
      </w:r>
    </w:p>
    <w:p>
      <w:pPr>
        <w:pStyle w:val="Heading1"/>
        <w:spacing w:after="160" w:before="360"/>
      </w:pPr>
      <w:r>
        <w:rPr>
          <w:rFonts w:ascii="Arial" w:cs="Arial" w:eastAsia="Arial" w:hAnsi="Arial"/>
          <w:b/>
          <w:bCs/>
          <w:color w:val="1A3C5E"/>
          <w:sz w:val="32"/>
          <w:szCs w:val="32"/>
        </w:rPr>
        <w:t xml:space="preserve">9. Risks &amp; Open Questions</w:t>
      </w:r>
    </w:p>
    <w:p>
      <w:pPr>
        <w:pStyle w:val="Heading2"/>
        <w:spacing w:after="120" w:before="280"/>
      </w:pPr>
      <w:r>
        <w:rPr>
          <w:rFonts w:ascii="Arial" w:cs="Arial" w:eastAsia="Arial" w:hAnsi="Arial"/>
          <w:b/>
          <w:bCs/>
          <w:color w:val="2E75B6"/>
          <w:sz w:val="26"/>
          <w:szCs w:val="26"/>
        </w:rPr>
        <w:t xml:space="preserve">9.1 Critical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800"/>
        <w:gridCol w:w="27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Risk</w:t>
            </w:r>
          </w:p>
        </w:tc>
        <w:tc>
          <w:tcPr>
            <w:tcW w:type="dxa" w:w="36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Severity</w:t>
            </w:r>
          </w:p>
        </w:tc>
        <w:tc>
          <w:tcPr>
            <w:tcW w:type="dxa" w:w="27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Mitigation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GSP Partnership Delay</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No GSP = no GSTN API access. This single dependency can block the entire product.</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Critical</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Initiate GSP partnership in month 1. Have a fallback: scraper-based GSTR-2B download as interim.</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GSTN API Instability</w:t>
            </w:r>
          </w:p>
        </w:tc>
        <w:tc>
          <w:tcPr>
            <w:tcW w:type="dxa" w:w="36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GSTN portal has historically had downtime during peak filing periods (20th of month).</w:t>
            </w:r>
          </w:p>
        </w:tc>
        <w:tc>
          <w:tcPr>
            <w:tcW w:type="dxa" w:w="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High</w:t>
            </w:r>
          </w:p>
        </w:tc>
        <w:tc>
          <w:tcPr>
            <w:tcW w:type="dxa" w:w="27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Async queue with retry; clear user status; never block user workflow on API response.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Regulatory Changes</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GST rules, thresholds, and schema change frequently. e-invoice threshold dropped from ₹500Cr to ₹5Cr in 3 years.</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High</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Build schema versioning into the filing engine. Subscribe to GSTN circulars. Rapid deployment pipeline.</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User Trust / Data Sensitivity</w:t>
            </w:r>
          </w:p>
        </w:tc>
        <w:tc>
          <w:tcPr>
            <w:tcW w:type="dxa" w:w="36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Users share GSTN credentials or link their portal account. Any breach = business-ending reputational damage.</w:t>
            </w:r>
          </w:p>
        </w:tc>
        <w:tc>
          <w:tcPr>
            <w:tcW w:type="dxa" w:w="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Critical</w:t>
            </w:r>
          </w:p>
        </w:tc>
        <w:tc>
          <w:tcPr>
            <w:tcW w:type="dxa" w:w="27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Never store portal passwords. Use OAuth tokens only. SOC 2 compliance roadmap. Transparent privacy policy.</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Competitor Response</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ClearTax and Zoho can add a simplified tier targeting the same users at any time.</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Medium</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Speed to market and NPS moat. Deeper UX in the small business segment than generalist players.</w:t>
            </w:r>
          </w:p>
        </w:tc>
      </w:tr>
    </w:tbl>
    <w:p>
      <w:pPr>
        <w:spacing w:before="200"/>
      </w:pPr>
    </w:p>
    <w:p>
      <w:pPr>
        <w:pStyle w:val="Heading2"/>
        <w:spacing w:after="120" w:before="280"/>
      </w:pPr>
      <w:r>
        <w:rPr>
          <w:rFonts w:ascii="Arial" w:cs="Arial" w:eastAsia="Arial" w:hAnsi="Arial"/>
          <w:b/>
          <w:bCs/>
          <w:color w:val="2E75B6"/>
          <w:sz w:val="26"/>
          <w:szCs w:val="26"/>
        </w:rPr>
        <w:t xml:space="preserve">9.2 Open Questions (Must Resolve Before Development)</w:t>
      </w:r>
    </w:p>
    <w:p>
      <w:pPr>
        <w:pStyle w:val="ListParagraph"/>
        <w:numPr>
          <w:ilvl w:val="0"/>
          <w:numId w:val="2"/>
        </w:numPr>
        <w:spacing w:after="40" w:before="40"/>
      </w:pPr>
      <w:r>
        <w:rPr>
          <w:rFonts w:ascii="Arial" w:cs="Arial" w:eastAsia="Arial" w:hAnsi="Arial"/>
          <w:b w:val="false"/>
          <w:bCs w:val="false"/>
          <w:sz w:val="20"/>
          <w:szCs w:val="20"/>
        </w:rPr>
        <w:t xml:space="preserve">Will GSTEase apply for its own GSP license or partner with an existing GSP? (Decision deadline: Week 2)</w:t>
      </w:r>
    </w:p>
    <w:p>
      <w:pPr>
        <w:pStyle w:val="ListParagraph"/>
        <w:numPr>
          <w:ilvl w:val="0"/>
          <w:numId w:val="2"/>
        </w:numPr>
        <w:spacing w:after="40" w:before="40"/>
      </w:pPr>
      <w:r>
        <w:rPr>
          <w:rFonts w:ascii="Arial" w:cs="Arial" w:eastAsia="Arial" w:hAnsi="Arial"/>
          <w:b w:val="false"/>
          <w:bCs w:val="false"/>
          <w:sz w:val="20"/>
          <w:szCs w:val="20"/>
        </w:rPr>
        <w:t xml:space="preserve">EVC vs DSC for return filing — which authentication method will be supported at launch? EVC is simpler for users; DSC is required for some categories.</w:t>
      </w:r>
    </w:p>
    <w:p>
      <w:pPr>
        <w:pStyle w:val="ListParagraph"/>
        <w:numPr>
          <w:ilvl w:val="0"/>
          <w:numId w:val="2"/>
        </w:numPr>
        <w:spacing w:after="40" w:before="40"/>
      </w:pPr>
      <w:r>
        <w:rPr>
          <w:rFonts w:ascii="Arial" w:cs="Arial" w:eastAsia="Arial" w:hAnsi="Arial"/>
          <w:b w:val="false"/>
          <w:bCs w:val="false"/>
          <w:sz w:val="20"/>
          <w:szCs w:val="20"/>
        </w:rPr>
        <w:t xml:space="preserve">Will GSTR-2B auto-pull use screen-scraping or official API? Scraping violates GSTN terms and creates legal risk.</w:t>
      </w:r>
    </w:p>
    <w:p>
      <w:pPr>
        <w:pStyle w:val="ListParagraph"/>
        <w:numPr>
          <w:ilvl w:val="0"/>
          <w:numId w:val="2"/>
        </w:numPr>
        <w:spacing w:after="40" w:before="40"/>
      </w:pPr>
      <w:r>
        <w:rPr>
          <w:rFonts w:ascii="Arial" w:cs="Arial" w:eastAsia="Arial" w:hAnsi="Arial"/>
          <w:b w:val="false"/>
          <w:bCs w:val="false"/>
          <w:sz w:val="20"/>
          <w:szCs w:val="20"/>
        </w:rPr>
        <w:t xml:space="preserve">What is the strategy for users below the e-invoice threshold (under ₹5Cr)? IRN generation is optional for them — should it still be offered?</w:t>
      </w:r>
    </w:p>
    <w:p>
      <w:pPr>
        <w:pStyle w:val="ListParagraph"/>
        <w:numPr>
          <w:ilvl w:val="0"/>
          <w:numId w:val="2"/>
        </w:numPr>
        <w:spacing w:after="40" w:before="40"/>
      </w:pPr>
      <w:r>
        <w:rPr>
          <w:rFonts w:ascii="Arial" w:cs="Arial" w:eastAsia="Arial" w:hAnsi="Arial"/>
          <w:b w:val="false"/>
          <w:bCs w:val="false"/>
          <w:sz w:val="20"/>
          <w:szCs w:val="20"/>
        </w:rPr>
        <w:t xml:space="preserve">Is a mobile app planned for v1.5? If yes, does the v1.0 backend need to be API-first from day one?</w:t>
      </w:r>
    </w:p>
    <w:p>
      <w:pPr>
        <w:pStyle w:val="ListParagraph"/>
        <w:numPr>
          <w:ilvl w:val="0"/>
          <w:numId w:val="2"/>
        </w:numPr>
        <w:spacing w:after="40" w:before="40"/>
      </w:pPr>
      <w:r>
        <w:rPr>
          <w:rFonts w:ascii="Arial" w:cs="Arial" w:eastAsia="Arial" w:hAnsi="Arial"/>
          <w:b w:val="false"/>
          <w:bCs w:val="false"/>
          <w:sz w:val="20"/>
          <w:szCs w:val="20"/>
        </w:rPr>
        <w:t xml:space="preserve">What data deletion policy applies when a user cancels their subscription? This affects compliance with IT Act provisions.</w:t>
      </w:r>
    </w:p>
    <w:p>
      <w:r>
        <w:br w:type="page"/>
      </w:r>
    </w:p>
    <w:p>
      <w:pPr>
        <w:pStyle w:val="Heading1"/>
        <w:spacing w:after="160" w:before="360"/>
      </w:pPr>
      <w:r>
        <w:rPr>
          <w:rFonts w:ascii="Arial" w:cs="Arial" w:eastAsia="Arial" w:hAnsi="Arial"/>
          <w:b/>
          <w:bCs/>
          <w:color w:val="1A3C5E"/>
          <w:sz w:val="32"/>
          <w:szCs w:val="32"/>
        </w:rPr>
        <w:t xml:space="preserve">10.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760"/>
        <w:gridCol w:w="1800"/>
      </w:tblGrid>
      <w:tr>
        <w:trPr>
          <w:tblHeader/>
        </w:trPr>
        <w:tc>
          <w:tcPr>
            <w:tcW w:type="dxa" w:w="14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24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Timeline</w:t>
            </w:r>
          </w:p>
        </w:tc>
        <w:tc>
          <w:tcPr>
            <w:tcW w:type="dxa" w:w="37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Key Deliverables</w:t>
            </w:r>
          </w:p>
        </w:tc>
        <w:tc>
          <w:tcPr>
            <w:tcW w:type="dxa" w:w="1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Exit Criteria</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Phase 0 — Foundation</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Month 1–2</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GSP partnership, GSTN sandbox access, tech stack selection, UI/UX wireframes, GSTIN validation API</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GSP agreement signed; sandbox credentials received</w:t>
            </w:r>
          </w:p>
        </w:tc>
      </w:tr>
      <w:tr>
        <w:tc>
          <w:tcPr>
            <w:tcW w:type="dxa" w:w="14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Phase 1 — Core MVP</w:t>
            </w:r>
          </w:p>
        </w:tc>
        <w:tc>
          <w:tcPr>
            <w:tcW w:type="dxa" w:w="24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Month 3–5</w:t>
            </w:r>
          </w:p>
        </w:tc>
        <w:tc>
          <w:tcPr>
            <w:tcW w:type="dxa" w:w="37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Invoice generator with IRN/QR, GSTR-1 filing, GSTR-3B filing, real-time liability calculator, basic ITC upload</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100 beta users; &lt; 2% rejection rate on filed returns</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Phase 2 — Differentiation</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Month 6–8</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GSTR-2B auto-pull, IMS integration, one-click accept/reject, supplier filing status alerts, payment links, notice helper templates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500 paid users; NPS &gt; 40</w:t>
            </w:r>
          </w:p>
        </w:tc>
      </w:tr>
      <w:tr>
        <w:tc>
          <w:tcPr>
            <w:tcW w:type="dxa" w:w="14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Phase 3 — Growth &amp; Retention</w:t>
            </w:r>
          </w:p>
        </w:tc>
        <w:tc>
          <w:tcPr>
            <w:tcW w:type="dxa" w:w="24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Month 9–12</w:t>
            </w:r>
          </w:p>
        </w:tc>
        <w:tc>
          <w:tcPr>
            <w:tcW w:type="dxa" w:w="37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Payment gateway webhook, recurring invoices, amended returns, CA referral program, mobile-optimized flow, in-app onboarding tour</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sz w:val="19"/>
                <w:szCs w:val="19"/>
              </w:rPr>
              <w:t xml:space="preserve">₹15L MRR; churn &lt; 5%</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Phase 4 — Scale (v2.0)</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Month 13+</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Multi-GSTIN support, GSTR-9 annual return, CA/accountant multi-client dashboard, ERP integrations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Defined by Phase 3 learnings</w:t>
            </w:r>
          </w:p>
        </w:tc>
      </w:tr>
    </w:tbl>
    <w:p>
      <w:pPr>
        <w:spacing w:before="240"/>
      </w:pPr>
    </w:p>
    <w:p>
      <w:pPr>
        <w:pStyle w:val="Heading2"/>
        <w:spacing w:after="120" w:before="280"/>
      </w:pPr>
      <w:r>
        <w:rPr>
          <w:rFonts w:ascii="Arial" w:cs="Arial" w:eastAsia="Arial" w:hAnsi="Arial"/>
          <w:b/>
          <w:bCs/>
          <w:color w:val="2E75B6"/>
          <w:sz w:val="26"/>
          <w:szCs w:val="26"/>
        </w:rPr>
        <w:t xml:space="preserve">10.1 Launch Readiness Checklist</w:t>
      </w:r>
    </w:p>
    <w:p>
      <w:pPr>
        <w:pStyle w:val="ListParagraph"/>
        <w:numPr>
          <w:ilvl w:val="0"/>
          <w:numId w:val="2"/>
        </w:numPr>
        <w:spacing w:after="40" w:before="40"/>
      </w:pPr>
      <w:r>
        <w:rPr>
          <w:rFonts w:ascii="Arial" w:cs="Arial" w:eastAsia="Arial" w:hAnsi="Arial"/>
          <w:b w:val="false"/>
          <w:bCs w:val="false"/>
          <w:sz w:val="20"/>
          <w:szCs w:val="20"/>
        </w:rPr>
        <w:t xml:space="preserve">GSP partnership agreement executed</w:t>
      </w:r>
    </w:p>
    <w:p>
      <w:pPr>
        <w:pStyle w:val="ListParagraph"/>
        <w:numPr>
          <w:ilvl w:val="0"/>
          <w:numId w:val="2"/>
        </w:numPr>
        <w:spacing w:after="40" w:before="40"/>
      </w:pPr>
      <w:r>
        <w:rPr>
          <w:rFonts w:ascii="Arial" w:cs="Arial" w:eastAsia="Arial" w:hAnsi="Arial"/>
          <w:b w:val="false"/>
          <w:bCs w:val="false"/>
          <w:sz w:val="20"/>
          <w:szCs w:val="20"/>
        </w:rPr>
        <w:t xml:space="preserve">GSTN production API credentials received and tested</w:t>
      </w:r>
    </w:p>
    <w:p>
      <w:pPr>
        <w:pStyle w:val="ListParagraph"/>
        <w:numPr>
          <w:ilvl w:val="0"/>
          <w:numId w:val="2"/>
        </w:numPr>
        <w:spacing w:after="40" w:before="40"/>
      </w:pPr>
      <w:r>
        <w:rPr>
          <w:rFonts w:ascii="Arial" w:cs="Arial" w:eastAsia="Arial" w:hAnsi="Arial"/>
          <w:b w:val="false"/>
          <w:bCs w:val="false"/>
          <w:sz w:val="20"/>
          <w:szCs w:val="20"/>
        </w:rPr>
        <w:t xml:space="preserve">IRN generation and QR code verified against NIC QR scanner</w:t>
      </w:r>
    </w:p>
    <w:p>
      <w:pPr>
        <w:pStyle w:val="ListParagraph"/>
        <w:numPr>
          <w:ilvl w:val="0"/>
          <w:numId w:val="2"/>
        </w:numPr>
        <w:spacing w:after="40" w:before="40"/>
      </w:pPr>
      <w:r>
        <w:rPr>
          <w:rFonts w:ascii="Arial" w:cs="Arial" w:eastAsia="Arial" w:hAnsi="Arial"/>
          <w:b w:val="false"/>
          <w:bCs w:val="false"/>
          <w:sz w:val="20"/>
          <w:szCs w:val="20"/>
        </w:rPr>
        <w:t xml:space="preserve">GSTR-1 and GSTR-3B filing tested end-to-end in sandbox environment</w:t>
      </w:r>
    </w:p>
    <w:p>
      <w:pPr>
        <w:pStyle w:val="ListParagraph"/>
        <w:numPr>
          <w:ilvl w:val="0"/>
          <w:numId w:val="2"/>
        </w:numPr>
        <w:spacing w:after="40" w:before="40"/>
      </w:pPr>
      <w:r>
        <w:rPr>
          <w:rFonts w:ascii="Arial" w:cs="Arial" w:eastAsia="Arial" w:hAnsi="Arial"/>
          <w:b w:val="false"/>
          <w:bCs w:val="false"/>
          <w:sz w:val="20"/>
          <w:szCs w:val="20"/>
        </w:rPr>
        <w:t xml:space="preserve">Security audit completed; GSTN credentials never logged or exposed</w:t>
      </w:r>
    </w:p>
    <w:p>
      <w:pPr>
        <w:pStyle w:val="ListParagraph"/>
        <w:numPr>
          <w:ilvl w:val="0"/>
          <w:numId w:val="2"/>
        </w:numPr>
        <w:spacing w:after="40" w:before="40"/>
      </w:pPr>
      <w:r>
        <w:rPr>
          <w:rFonts w:ascii="Arial" w:cs="Arial" w:eastAsia="Arial" w:hAnsi="Arial"/>
          <w:b w:val="false"/>
          <w:bCs w:val="false"/>
          <w:sz w:val="20"/>
          <w:szCs w:val="20"/>
        </w:rPr>
        <w:t xml:space="preserve">Legal disclaimer added: platform is a filing assistant, not a CA — not liable for professional advice</w:t>
      </w:r>
    </w:p>
    <w:p>
      <w:pPr>
        <w:pStyle w:val="ListParagraph"/>
        <w:numPr>
          <w:ilvl w:val="0"/>
          <w:numId w:val="2"/>
        </w:numPr>
        <w:spacing w:after="40" w:before="40"/>
      </w:pPr>
      <w:r>
        <w:rPr>
          <w:rFonts w:ascii="Arial" w:cs="Arial" w:eastAsia="Arial" w:hAnsi="Arial"/>
          <w:b w:val="false"/>
          <w:bCs w:val="false"/>
          <w:sz w:val="20"/>
          <w:szCs w:val="20"/>
        </w:rPr>
        <w:t xml:space="preserve">Privacy policy and data deletion flow live</w:t>
      </w:r>
    </w:p>
    <w:p>
      <w:pPr>
        <w:pStyle w:val="ListParagraph"/>
        <w:numPr>
          <w:ilvl w:val="0"/>
          <w:numId w:val="2"/>
        </w:numPr>
        <w:spacing w:after="40" w:before="40"/>
      </w:pPr>
      <w:r>
        <w:rPr>
          <w:rFonts w:ascii="Arial" w:cs="Arial" w:eastAsia="Arial" w:hAnsi="Arial"/>
          <w:b w:val="false"/>
          <w:bCs w:val="false"/>
          <w:sz w:val="20"/>
          <w:szCs w:val="20"/>
        </w:rPr>
        <w:t xml:space="preserve">Beta tested with minimum 50 real GSTIN users across all 3 personas</w:t>
      </w:r>
    </w:p>
    <w:p>
      <w:pPr>
        <w:pBdr>
          <w:bottom w:val="single" w:color="CCDDEE" w:sz="4" w:space="1"/>
        </w:pBdr>
        <w:spacing w:after="120" w:before="120"/>
      </w:pPr>
    </w:p>
    <w:p>
      <w:pPr>
        <w:spacing w:before="120"/>
      </w:pPr>
    </w:p>
    <w:p>
      <w:pPr>
        <w:spacing w:after="60" w:before="60"/>
      </w:pPr>
      <w:r>
        <w:rPr>
          <w:rFonts w:ascii="Arial" w:cs="Arial" w:eastAsia="Arial" w:hAnsi="Arial"/>
          <w:b w:val="false"/>
          <w:bCs w:val="false"/>
          <w:sz w:val="20"/>
          <w:szCs w:val="20"/>
        </w:rPr>
        <w:t xml:space="preserve">Document Owner: Product Team | Next Review: Before Phase 1 kickoff | Questions: Route to product lead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7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2026-05-05T05:53:16.227Z</dcterms:created>
  <dcterms:modified xsi:type="dcterms:W3CDTF">2026-05-05T05:53:16.228Z</dcterms:modified>
</cp:coreProperties>
</file>

<file path=docProps/custom.xml><?xml version="1.0" encoding="utf-8"?>
<Properties xmlns="http://schemas.openxmlformats.org/officeDocument/2006/custom-properties" xmlns:vt="http://schemas.openxmlformats.org/officeDocument/2006/docPropsVTypes"/>
</file>