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sz w:val="52"/>
          <w:szCs w:val="52"/>
        </w:rPr>
        <w:t xml:space="preserve">Video &amp; Voice Calling Feature</w:t>
      </w:r>
    </w:p>
    <w:p>
      <w:pPr>
        <w:spacing w:after="100"/>
        <w:jc w:val="center"/>
      </w:pPr>
      <w:r>
        <w:rPr>
          <w:rFonts w:ascii="Calibri" w:cs="Calibri" w:eastAsia="Calibri" w:hAnsi="Calibri"/>
          <w:b/>
          <w:bCs/>
          <w:color w:val="2E5395"/>
          <w:sz w:val="32"/>
          <w:szCs w:val="32"/>
        </w:rPr>
        <w:t xml:space="preserve">Edge Case &amp; Production-Readiness Risk Register</w:t>
      </w:r>
    </w:p>
    <w:p>
      <w:pPr>
        <w:spacing w:after="700"/>
        <w:jc w:val="center"/>
      </w:pPr>
      <w:r>
        <w:rPr>
          <w:rFonts w:ascii="Calibri" w:cs="Calibri" w:eastAsia="Calibri" w:hAnsi="Calibri"/>
          <w:color w:val="444444"/>
          <w:sz w:val="24"/>
          <w:szCs w:val="24"/>
        </w:rPr>
        <w:t xml:space="preserve">Doctor-initiated telehealth calling — iOS &amp; Android</w:t>
      </w:r>
    </w:p>
    <w:p>
      <w:pPr>
        <w:jc w:val="center"/>
      </w:pPr>
      <w:r>
        <w:rPr>
          <w:rFonts w:ascii="Calibri" w:cs="Calibri" w:eastAsia="Calibri" w:hAnsi="Calibri"/>
          <w:color w:val="666666"/>
          <w:sz w:val="20"/>
          <w:szCs w:val="20"/>
        </w:rPr>
        <w:t xml:space="preserve">Prepared for client review · Pre-production assessment</w:t>
      </w:r>
    </w:p>
    <w:p>
      <w:r>
        <w:br w:type="page"/>
      </w:r>
    </w:p>
    <w:p>
      <w:pPr>
        <w:pStyle w:val="Heading1"/>
        <w:spacing w:after="140" w:before="320"/>
      </w:pPr>
      <w:r>
        <w:t xml:space="preserve">Purpose of This Document</w:t>
      </w:r>
    </w:p>
    <w:p>
      <w:pPr>
        <w:spacing w:after="160"/>
      </w:pPr>
      <w:r>
        <w:rPr>
          <w:rFonts w:ascii="Calibri" w:cs="Calibri" w:eastAsia="Calibri" w:hAnsi="Calibri"/>
          <w:sz w:val="22"/>
          <w:szCs w:val="22"/>
        </w:rPr>
        <w:t xml:space="preserve">This document is a systematic risk assessment of everything that needs to be identified, decided, and built before this calling feature can be trusted with real doctors and real patients, on real phones, over real networks. It is written the way I would evaluate my own work before asking to be paid for it: assuming things will go wrong in production unless specifically addressed, not assuming they’ll be fine because they worked in a controlled test.</w:t>
      </w:r>
    </w:p>
    <w:p>
      <w:pPr>
        <w:spacing w:after="160"/>
      </w:pPr>
      <w:r>
        <w:rPr>
          <w:rFonts w:ascii="Calibri" w:cs="Calibri" w:eastAsia="Calibri" w:hAnsi="Calibri"/>
          <w:sz w:val="22"/>
          <w:szCs w:val="22"/>
        </w:rPr>
        <w:t xml:space="preserve">Each item below is categorized by priority: P0 items are blockers — the feature is not safe or reliable for real patient use without them. P1 items are required before a broader launch, though a small, closely supervised pilot could proceed without all of them. P2 items are enhancements that improve quality and trust but don’t block a responsible launch. Items marked Done have already been implemented and verified against the real backend, not just designed on paper.</w:t>
      </w:r>
    </w:p>
    <w:p>
      <w:pPr>
        <w:pStyle w:val="Heading1"/>
        <w:spacing w:after="140" w:before="320"/>
      </w:pPr>
      <w:r>
        <w:t xml:space="preserve">Context &amp; Constraint</w:t>
      </w:r>
    </w:p>
    <w:p>
      <w:pPr>
        <w:spacing w:after="160"/>
      </w:pPr>
      <w:r>
        <w:rPr>
          <w:rFonts w:ascii="Calibri" w:cs="Calibri" w:eastAsia="Calibri" w:hAnsi="Calibri"/>
          <w:sz w:val="22"/>
          <w:szCs w:val="22"/>
        </w:rPr>
        <w:t xml:space="preserve">This feature is being embedded into an existing production application, for a telehealth use case with one specific rule that shapes much of the design: a doctor can initiate a call to a patient, but a patient can never initiate a call to a doctor. That constraint isn’t just a UI choice — it has to be enforced everywhere a call could technically be started, and it changes what "the patient has an urgent need" has to look like in this product (Section 1 covers this in detail).</w:t>
      </w:r>
    </w:p>
    <w:p>
      <w:pPr>
        <w:pStyle w:val="Heading1"/>
        <w:spacing w:after="140" w:before="320"/>
      </w:pPr>
      <w:r>
        <w:t xml:space="preserve">Current Implementation Status</w:t>
      </w:r>
    </w:p>
    <w:p>
      <w:pPr>
        <w:spacing w:after="160"/>
      </w:pPr>
      <w:r>
        <w:rPr>
          <w:rFonts w:ascii="Calibri" w:cs="Calibri" w:eastAsia="Calibri" w:hAnsi="Calibri"/>
          <w:sz w:val="22"/>
          <w:szCs w:val="22"/>
        </w:rPr>
        <w:t xml:space="preserve">A snapshot of what has actually been built and proven to work against the real backend (not just designed), versus what is still outstanding. This is the honest starting point for the risk register that follows.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8600"/>
        <w:gridCol w:w="3800"/>
      </w:tblGrid>
      <w:tr>
        <w:trPr>
          <w:tblHeader/>
        </w:trPr>
        <w:tc>
          <w:tcPr>
            <w:tcW w:type="dxa" w:w="8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Capability</w:t>
            </w:r>
          </w:p>
        </w:tc>
        <w:tc>
          <w:tcPr>
            <w:tcW w:type="dxa" w:w="3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8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1:1 voice and video calling over WebRTC (peer-to-peer)</w:t>
            </w:r>
          </w:p>
        </w:tc>
        <w:tc>
          <w:tcPr>
            <w:tcW w:type="dxa" w:w="3800"/>
            <w:shd w:fill="FFFFFF"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Implemented &amp; verified</w:t>
            </w:r>
          </w:p>
        </w:tc>
      </w:tr>
      <w:tr>
        <w:tc>
          <w:tcPr>
            <w:tcW w:type="dxa" w:w="8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Mid-call switching between voice and video (WebRTC renegotiation)</w:t>
            </w:r>
          </w:p>
        </w:tc>
        <w:tc>
          <w:tcPr>
            <w:tcW w:type="dxa" w:w="38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Implemented &amp; verified</w:t>
            </w:r>
          </w:p>
        </w:tc>
      </w:tr>
      <w:tr>
        <w:tc>
          <w:tcPr>
            <w:tcW w:type="dxa" w:w="8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Real-time online/offline presence</w:t>
            </w:r>
          </w:p>
        </w:tc>
        <w:tc>
          <w:tcPr>
            <w:tcW w:type="dxa" w:w="3800"/>
            <w:shd w:fill="FFFFFF"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Implemented &amp; verified</w:t>
            </w:r>
          </w:p>
        </w:tc>
      </w:tr>
      <w:tr>
        <w:tc>
          <w:tcPr>
            <w:tcW w:type="dxa" w:w="8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Call history with duration, persisted to MongoDB</w:t>
            </w:r>
          </w:p>
        </w:tc>
        <w:tc>
          <w:tcPr>
            <w:tcW w:type="dxa" w:w="38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Implemented &amp; verified</w:t>
            </w:r>
          </w:p>
        </w:tc>
      </w:tr>
      <w:tr>
        <w:tc>
          <w:tcPr>
            <w:tcW w:type="dxa" w:w="8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Multi-device support: ring all devices, first-accept-wins, notify the rest</w:t>
            </w:r>
          </w:p>
        </w:tc>
        <w:tc>
          <w:tcPr>
            <w:tcW w:type="dxa" w:w="3800"/>
            <w:shd w:fill="FFFFFF"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Implemented &amp; verified</w:t>
            </w:r>
          </w:p>
        </w:tc>
      </w:tr>
      <w:tr>
        <w:tc>
          <w:tcPr>
            <w:tcW w:type="dxa" w:w="8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Authentication (JWT-based signup/login)</w:t>
            </w:r>
          </w:p>
        </w:tc>
        <w:tc>
          <w:tcPr>
            <w:tcW w:type="dxa" w:w="38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Implemented &amp; verified</w:t>
            </w:r>
          </w:p>
        </w:tc>
      </w:tr>
      <w:tr>
        <w:tc>
          <w:tcPr>
            <w:tcW w:type="dxa" w:w="8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Browser-based test client mirroring the mobile app’s call logic</w:t>
            </w:r>
          </w:p>
        </w:tc>
        <w:tc>
          <w:tcPr>
            <w:tcW w:type="dxa" w:w="3800"/>
            <w:shd w:fill="FFFFFF"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Implemented &amp; verified</w:t>
            </w:r>
          </w:p>
        </w:tc>
      </w:tr>
      <w:tr>
        <w:tc>
          <w:tcPr>
            <w:tcW w:type="dxa" w:w="8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TURN relay server for reliable connectivity across real networks</w:t>
            </w:r>
          </w:p>
        </w:tc>
        <w:tc>
          <w:tcPr>
            <w:tcW w:type="dxa" w:w="3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 — P0 gap</w:t>
            </w:r>
          </w:p>
        </w:tc>
      </w:tr>
      <w:tr>
        <w:tc>
          <w:tcPr>
            <w:tcW w:type="dxa" w:w="8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Server-side enforcement of "doctor-only can initiate"</w:t>
            </w:r>
          </w:p>
        </w:tc>
        <w:tc>
          <w:tcPr>
            <w:tcW w:type="dxa" w:w="3800"/>
            <w:shd w:fill="FFFFFF"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 — P0 gap</w:t>
            </w:r>
          </w:p>
        </w:tc>
      </w:tr>
      <w:tr>
        <w:tc>
          <w:tcPr>
            <w:tcW w:type="dxa" w:w="8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Native iOS integration (CallKit / PushKit, background calling)</w:t>
            </w:r>
          </w:p>
        </w:tc>
        <w:tc>
          <w:tcPr>
            <w:tcW w:type="dxa" w:w="3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 — P0 gap</w:t>
            </w:r>
          </w:p>
        </w:tc>
      </w:tr>
      <w:tr>
        <w:tc>
          <w:tcPr>
            <w:tcW w:type="dxa" w:w="8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Native Android integration (ConnectionService, foreground service, FCM)</w:t>
            </w:r>
          </w:p>
        </w:tc>
        <w:tc>
          <w:tcPr>
            <w:tcW w:type="dxa" w:w="3800"/>
            <w:shd w:fill="FFFFFF"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 — P0 gap</w:t>
            </w:r>
          </w:p>
        </w:tc>
      </w:tr>
      <w:tr>
        <w:tc>
          <w:tcPr>
            <w:tcW w:type="dxa" w:w="8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Consent / disclosure capture before a call connects</w:t>
            </w:r>
          </w:p>
        </w:tc>
        <w:tc>
          <w:tcPr>
            <w:tcW w:type="dxa" w:w="3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 — P0 gap</w:t>
            </w:r>
          </w:p>
        </w:tc>
      </w:tr>
      <w:tr>
        <w:tc>
          <w:tcPr>
            <w:tcW w:type="dxa" w:w="8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Production database deployment</w:t>
            </w:r>
          </w:p>
        </w:tc>
        <w:tc>
          <w:tcPr>
            <w:tcW w:type="dxa" w:w="3800"/>
            <w:shd w:fill="FFFFFF"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 — P0 gap</w:t>
            </w:r>
          </w:p>
        </w:tc>
      </w:tr>
      <w:tr>
        <w:tc>
          <w:tcPr>
            <w:tcW w:type="dxa" w:w="8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Compliance audit logging</w:t>
            </w:r>
          </w:p>
        </w:tc>
        <w:tc>
          <w:tcPr>
            <w:tcW w:type="dxa" w:w="3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 — P1 gap</w:t>
            </w:r>
          </w:p>
        </w:tc>
      </w:tr>
      <w:tr>
        <w:tc>
          <w:tcPr>
            <w:tcW w:type="dxa" w:w="8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Signed, submitted iOS / Android builds</w:t>
            </w:r>
          </w:p>
        </w:tc>
        <w:tc>
          <w:tcPr>
            <w:tcW w:type="dxa" w:w="3800"/>
            <w:shd w:fill="FFFFFF"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w:t>
            </w:r>
          </w:p>
        </w:tc>
      </w:tr>
    </w:tbl>
    <w:p>
      <w:r>
        <w:br w:type="page"/>
      </w:r>
    </w:p>
    <w:p>
      <w:pPr>
        <w:sectPr>
          <w:pgSz w:w="12240" w:h="15840" w:orient="portrait"/>
          <w:pgMar w:top="1080" w:right="1080" w:bottom="1080" w:left="1080" w:header="708" w:footer="708" w:gutter="0"/>
          <w:pgNumType/>
          <w:docGrid w:linePitch="360"/>
        </w:sectPr>
      </w:pPr>
    </w:p>
    <w:p>
      <w:pPr>
        <w:pStyle w:val="Heading1"/>
        <w:spacing w:after="140" w:before="320"/>
      </w:pPr>
      <w:r>
        <w:t xml:space="preserve">Edge Case &amp; Risk Register</w:t>
      </w:r>
    </w:p>
    <w:p>
      <w:pPr>
        <w:spacing w:after="160"/>
      </w:pPr>
      <w:r>
        <w:rPr>
          <w:rFonts w:ascii="Calibri" w:cs="Calibri" w:eastAsia="Calibri" w:hAnsi="Calibri"/>
          <w:sz w:val="22"/>
          <w:szCs w:val="22"/>
        </w:rPr>
        <w:t xml:space="preserve">The following sections cover every category of risk considered for this feature, organized the way an engineering team would triage them: what could realistically go wrong, why it matters for a doctor-patient calling product specifically, and what addresses it.</w:t>
      </w:r>
    </w:p>
    <w:p>
      <w:pPr>
        <w:pStyle w:val="Heading2"/>
        <w:spacing w:after="100" w:before="220"/>
      </w:pPr>
      <w:r>
        <w:t xml:space="preserve">1. Call Initiation &amp; Role-Based Permissions (Doctor-Only)</w:t>
      </w:r>
    </w:p>
    <w:p>
      <w:pPr>
        <w:spacing w:after="120"/>
      </w:pPr>
      <w:r>
        <w:rPr>
          <w:rFonts w:ascii="Calibri" w:cs="Calibri" w:eastAsia="Calibri" w:hAnsi="Calibri"/>
          <w:i/>
          <w:iCs/>
          <w:color w:val="555555"/>
          <w:sz w:val="20"/>
          <w:szCs w:val="20"/>
        </w:rPr>
        <w:t xml:space="preserve">The core constraint for this build: only a doctor can start a call; a patient can never initiate one. This has to be enforced by the server, not just the app’s UI.</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Patient sends a call:invite directly through the API/WebSocket, bypassing the hidden "call" button in the UI.</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UI-only restrictions are trivial to bypass — a patient-role account could still ring a doctor by talking to the backend directly.</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Enforce the doctor-only rule on the server, inside the signaling handler itself. Reject and log any invite attempted by a non-doctor role.</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Doctor calls a patient with no linked appointment or active care relationship.</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Prevents unauthorized or accidental contact between unrelated doctor and patient accounts.</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Validate that an active appointment / care-relationship record exists before the invite is allowed to ring.</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Patient has no way to reach a doctor urgently, since they can’t start a call themselves.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Without an alternative, patients may feel stuck, or look for workarounds outside the app.</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Provide an asynchronous "Request a Callback" action that notifies the doctor — distinct from a live call invite.</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Doctor calls the wrong patient (similar names, moving too fast through a list).</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Contacting the wrong patient is a confidentiality issue as well as a clinical one.</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Require a confirmation step (patient photo, DOB, or ID) before the call actually starts ringing.</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Patient account belongs to a minor.</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Consent and communication rules differ for minors in most jurisdictions.</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Require guardian linkage; route doctor-initiated calls to the guardian, or into a joint session.</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Doctor’s account is suspended or a license lapses while a call is ringing or already active.</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session shouldn’t be able to continue once a doctor is no longer authorized to hold it.</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 admins the ability to forcibly terminate any in-progress session from the backend.</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bl>
    <w:p>
      <w:pPr>
        <w:spacing w:after="200"/>
      </w:pPr>
    </w:p>
    <w:p>
      <w:pPr>
        <w:pStyle w:val="Heading2"/>
        <w:spacing w:after="100" w:before="220"/>
      </w:pPr>
      <w:r>
        <w:t xml:space="preserve">2. Call Lifecycle &amp; Signaling State</w:t>
      </w:r>
    </w:p>
    <w:p>
      <w:pPr>
        <w:spacing w:after="120"/>
      </w:pPr>
      <w:r>
        <w:rPr>
          <w:rFonts w:ascii="Calibri" w:cs="Calibri" w:eastAsia="Calibri" w:hAnsi="Calibri"/>
          <w:i/>
          <w:iCs/>
          <w:color w:val="555555"/>
          <w:sz w:val="20"/>
          <w:szCs w:val="20"/>
        </w:rPr>
        <w:t xml:space="preserve">What can go wrong in the sequence of messages that sets up, runs, and ends a call.</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Caller’s app crashes or loses network before sending call:cancel, leaving the call "ringing" forever.</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Stale ringing calls skew call history and audit reporting, and never resolve on their own.</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Server-side timeout that auto-expires a ringing call after N seconds and notifies both sides.</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stale or replayed signaling message arrives for a call_id that has already ended.</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Could resurrect dead call state on a client, or cause it to act on an invalid call.</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Validate call status before processing any signaling message; silently ignore stale ones.</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Backend restarts while calls are active.</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in-memory call and device state is currently lost the moment the process restarts.</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At minimum, fail active calls with a clear "call ended — please redial" message rather than a silent hang; consider persisting minimal recovery state.</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"Missed," "declined," and "timed out with no answer" are not currently distinguished in call history.</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Clinically and administratively these mean very different things (patient unreachable vs. patient refused).</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Track distinct call-outcome statuses for accurate reporting.</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Both parties happen to call each other at the same moment (edge case, low likelihood given doctor-only initiation, but possible with multiple doctors).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Undefined behavior today; could create two competing call_ids for the same pair.</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Define and test a deterministic tie-break rule.</w:t>
            </w:r>
          </w:p>
        </w:tc>
        <w:tc>
          <w:tcPr>
            <w:tcW w:type="dxa" w:w="1800"/>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bl>
    <w:p>
      <w:pPr>
        <w:spacing w:after="200"/>
      </w:pPr>
    </w:p>
    <w:p>
      <w:pPr>
        <w:pStyle w:val="Heading2"/>
        <w:spacing w:after="100" w:before="220"/>
      </w:pPr>
      <w:r>
        <w:t xml:space="preserve">3. Multi-Device &amp; Presence</w:t>
      </w:r>
    </w:p>
    <w:p>
      <w:pPr>
        <w:spacing w:after="120"/>
      </w:pPr>
      <w:r>
        <w:rPr>
          <w:rFonts w:ascii="Calibri" w:cs="Calibri" w:eastAsia="Calibri" w:hAnsi="Calibri"/>
          <w:i/>
          <w:iCs/>
          <w:color w:val="555555"/>
          <w:sz w:val="20"/>
          <w:szCs w:val="20"/>
        </w:rPr>
        <w:t xml:space="preserve">A doctor or patient signed in on more than one device (phone, tablet, hospital desktop, web) at the same time.</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Doctor is signed in on a hospital desktop and a personal phone simultaneously.</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Both devices should ring, but only the one that answers should carry the call.</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Implemented and verified: all devices ring, first device to accept wins, other devices are told "answered elsewhere."</w:t>
            </w:r>
          </w:p>
        </w:tc>
        <w:tc>
          <w:tcPr>
            <w:tcW w:type="dxa" w:w="1800"/>
            <w:tcMar>
              <w:top w:type="dxa" w:w="80"/>
              <w:left w:type="dxa" w:w="100"/>
              <w:bottom w:type="dxa" w:w="80"/>
              <w:right w:type="dxa" w:w="100"/>
            </w:tcMar>
            <w:vAlign w:val="center"/>
          </w:tcPr>
          <w:p>
            <w:r>
              <w:rPr>
                <w:rFonts w:ascii="Calibri" w:cs="Calibri" w:eastAsia="Calibri" w:hAnsi="Calibri"/>
                <w:b/>
                <w:bCs/>
                <w:color w:val="2E74B5"/>
                <w:sz w:val="20"/>
                <w:szCs w:val="20"/>
              </w:rPr>
              <w:t xml:space="preserve">Done – Implemented &amp; verified</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device’s connection flaps (brief reconnects), causing rapid online/offline presence updates.</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Creates a distracting flicker in the other party’s "online" indicator.</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Debounce presence broadcasts by a few seconds before flipping the indicator.</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"answered elsewhere" notice to a losing device is dropped by a flaky connection.</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That device’s UI could stay stuck showing an incoming call for a session that’s already connected elsewhere.</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Make the notice idempotent/retried, and have the client clear stale incoming-call UI after a timeout regardless.</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bl>
    <w:p>
      <w:pPr>
        <w:spacing w:after="200"/>
      </w:pPr>
    </w:p>
    <w:p>
      <w:pPr>
        <w:pStyle w:val="Heading2"/>
        <w:spacing w:after="100" w:before="220"/>
      </w:pPr>
      <w:r>
        <w:t xml:space="preserve">4. Network &amp; Connectivity Resilience</w:t>
      </w:r>
    </w:p>
    <w:p>
      <w:pPr>
        <w:spacing w:after="120"/>
      </w:pPr>
      <w:r>
        <w:rPr>
          <w:rFonts w:ascii="Calibri" w:cs="Calibri" w:eastAsia="Calibri" w:hAnsi="Calibri"/>
          <w:i/>
          <w:iCs/>
          <w:color w:val="555555"/>
          <w:sz w:val="20"/>
          <w:szCs w:val="20"/>
        </w:rPr>
        <w:t xml:space="preserve">Real-world networks — hospital wifi, patient cellular data — are far less forgiving than a local test environment.</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TURN relay server is deployed yet.</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meaningful share of real mobile and hospital networks can’t establish a direct peer-to-peer path; those calls simply fail to connect without a relay.</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Deploy and configure a TURN server before any real patient use — this is the single highest-impact infrastructure gap today.</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Doctor’s hospital wifi drops mid-consultation.</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Currently this likely ends the call outright.</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Add automatic reconnection that preserves call state, with a "Reconnecting…" UI instead of a hard failure.</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Patient is on a weak cellular connection.</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Video can freeze or stutter unpredictably, which is worse than a clean fallback.</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Auto-fallback to audio-only under sustained poor conditions, with a clear signal to both sides that it happened.</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connectivity loss for an extended period.</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 indefinite spinner is confusing and erodes trust in the app.</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Define a clear timeout into a "Call failed — please retry" state.</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bl>
    <w:p>
      <w:pPr>
        <w:spacing w:after="200"/>
      </w:pPr>
    </w:p>
    <w:p>
      <w:pPr>
        <w:pStyle w:val="Heading2"/>
        <w:spacing w:after="100" w:before="220"/>
      </w:pPr>
      <w:r>
        <w:t xml:space="preserve">5. Native iOS Integration</w:t>
      </w:r>
    </w:p>
    <w:p>
      <w:pPr>
        <w:spacing w:after="120"/>
      </w:pPr>
      <w:r>
        <w:rPr>
          <w:rFonts w:ascii="Calibri" w:cs="Calibri" w:eastAsia="Calibri" w:hAnsi="Calibri"/>
          <w:i/>
          <w:iCs/>
          <w:color w:val="555555"/>
          <w:sz w:val="20"/>
          <w:szCs w:val="20"/>
        </w:rPr>
        <w:t xml:space="preserve">Requirements specific to shipping this as a real iOS app, not just a browser test client.</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 is backgrounded or fully closed when a call comes in.</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plain WebSocket cannot wake a suspended or killed iOS app — the doctor’s call would silently never reach the patient.</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Implement PushKit + CallKit so iOS shows its native full-screen incoming-call UI even when the app isn’t running.</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Apple requires PushKit VoIP pushes to be paired with CallKit.</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Using VoIP push without CallKit risks App Store rejection, or the OS throttling/blocking the push entirely.</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Design the push-plus-CallKit pairing from the start, not bolted on after the fact.</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Patient has Do Not Disturb or a Focus mode enabled.</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Regular notifications would be silenced; a medical call may need to get through regardless.</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CallKit calls generally bypass Focus modes, but this must be explicitly tested per iOS version before launch.</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Patient backgrounds the app mid-call (checks another app).</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Audio could be cut if the audio session isn’t configured to persist in the background.</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Configure the correct AVAudioSession category/mode so audio continues uninterrupted.</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 Store review for a medical/health-adjacent app.</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These often get extra scrutiny and may require specific in-app disclaimers.</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Prepare clear camera/mic usage justifications and any required "not for emergency use" disclaimer ahead of submission.</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bl>
    <w:p>
      <w:pPr>
        <w:spacing w:after="200"/>
      </w:pPr>
    </w:p>
    <w:p>
      <w:pPr>
        <w:pStyle w:val="Heading2"/>
        <w:spacing w:after="100" w:before="220"/>
      </w:pPr>
      <w:r>
        <w:t xml:space="preserve">6. Native Android Integration</w:t>
      </w:r>
    </w:p>
    <w:p>
      <w:pPr>
        <w:spacing w:after="120"/>
      </w:pPr>
      <w:r>
        <w:rPr>
          <w:rFonts w:ascii="Calibri" w:cs="Calibri" w:eastAsia="Calibri" w:hAnsi="Calibri"/>
          <w:i/>
          <w:iCs/>
          <w:color w:val="555555"/>
          <w:sz w:val="20"/>
          <w:szCs w:val="20"/>
        </w:rPr>
        <w:t xml:space="preserve">Android’s background-process model and device fragmentation create their own class of problems.</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 is backgrounded and the OS (Doze / App Standby) kills the WebSocket connection.</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Same failure mode as iOS — the call invite never reaches a backgrounded app.</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 a foreground service with a persistent notification during active calls, plus high-priority FCM messages to wake the app for incoming calls.</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Incoming call while the phone is locked.</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standard notification is easy to miss or dismiss for something as time-sensitive as a doctor’s call.</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 ConnectionService / a full-screen intent notification so the ringing UI appears over the lock screen.</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Aggressive OEM battery managers (Xiaomi, Oppo, Huawei, and similar) kill background apps regardless of standard Android APIs.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well-documented Android fragmentation issue — calls can silently fail to arrive on specific phone brands.</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Prompt users to exclude the app from battery optimization, and document the manual steps for major OEMs.</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Play Store sensitive-permission and Data Safety disclosures.</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CAMERA / RECORD_AUDIO / foreground-service permissions and medical data handling face extra Play Store review.</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Play Console permissions justification and Data Safety form accurately before submission.</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bl>
    <w:p>
      <w:pPr>
        <w:spacing w:after="200"/>
      </w:pPr>
    </w:p>
    <w:p>
      <w:pPr>
        <w:pStyle w:val="Heading2"/>
        <w:spacing w:after="100" w:before="220"/>
      </w:pPr>
      <w:r>
        <w:t xml:space="preserve">7. Media &amp; Hardware</w:t>
      </w:r>
    </w:p>
    <w:p>
      <w:pPr>
        <w:spacing w:after="120"/>
      </w:pPr>
      <w:r>
        <w:rPr>
          <w:rFonts w:ascii="Calibri" w:cs="Calibri" w:eastAsia="Calibri" w:hAnsi="Calibri"/>
          <w:i/>
          <w:iCs/>
          <w:color w:val="555555"/>
          <w:sz w:val="20"/>
          <w:szCs w:val="20"/>
        </w:rPr>
        <w:t xml:space="preserve">The physical realities of cameras, microphones, and the devices they’re attached to.</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Device has no camera/microphone, or permission is permanently denied.</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Currently this could leave the UI hung on "connecting" with no explanation to the user.</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Detect this up front and show a clear, actionable error instead of a silent stall.</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Bluetooth headset connects or disconnects mid-call.</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Audio should switch cleanly between speaker, earpiece, and Bluetooth without dropping the call.</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Handle audio-route changes as a first-class event, tested against real Bluetooth hardware.</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Screen rotation during a video call.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Camera capture orientation and the rendered video feed can end up mismatched.</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Lock or properly handle orientation changes during an active call.</w:t>
            </w:r>
          </w:p>
        </w:tc>
        <w:tc>
          <w:tcPr>
            <w:tcW w:type="dxa" w:w="1800"/>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Older devices or OS versions struggle to encode video smoothly.</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Poor experience isn’t always a network problem — sometimes it’s the device itself.</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Detect low capability and proactively suggest switching to audio-only.</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Proximity sensor should turn off the screen during a voice call held to the ear.</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Standard expected phone behavior; easy to accidentally break in a custom call UI.</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Verify native proximity-sensor behavior is preserved on both platforms.</w:t>
            </w:r>
          </w:p>
        </w:tc>
        <w:tc>
          <w:tcPr>
            <w:tcW w:type="dxa" w:w="1800"/>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bl>
    <w:p>
      <w:pPr>
        <w:spacing w:after="200"/>
      </w:pPr>
    </w:p>
    <w:p>
      <w:pPr>
        <w:pStyle w:val="Heading2"/>
        <w:spacing w:after="100" w:before="220"/>
      </w:pPr>
      <w:r>
        <w:t xml:space="preserve">8. Concurrency &amp; Multi-Party Scenarios</w:t>
      </w:r>
    </w:p>
    <w:p>
      <w:pPr>
        <w:spacing w:after="120"/>
      </w:pPr>
      <w:r>
        <w:rPr>
          <w:rFonts w:ascii="Calibri" w:cs="Calibri" w:eastAsia="Calibri" w:hAnsi="Calibri"/>
          <w:i/>
          <w:iCs/>
          <w:color w:val="555555"/>
          <w:sz w:val="20"/>
          <w:szCs w:val="20"/>
        </w:rPr>
        <w:t xml:space="preserve">What happens when more than two people, or more than one call, are involved at once.</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Two doctors (e.g., a GP and a specialist) try to call the same patient at once.</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patient could be double-rung, or one of the calls could silently fail.</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Add a "patient is already in a consultation" busy state, with queueing or notification for the second caller.</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doctor already on one call tries to start a second call with a different patient.</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Could silently overlap two active sessions.</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Block, or clearly warn, before allowing a second concurrent call.</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need arises for a third participant (interpreter, family member, another clinician).</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current architecture is strictly one-to-one.</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Out of scope for this build — flag explicitly as a future group-calling project rather than something to patch in.</w:t>
            </w:r>
          </w:p>
        </w:tc>
        <w:tc>
          <w:tcPr>
            <w:tcW w:type="dxa" w:w="1800"/>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bl>
    <w:p>
      <w:pPr>
        <w:spacing w:after="200"/>
      </w:pPr>
    </w:p>
    <w:p>
      <w:pPr>
        <w:pStyle w:val="Heading2"/>
        <w:spacing w:after="100" w:before="220"/>
      </w:pPr>
      <w:r>
        <w:t xml:space="preserve">9. Security, Privacy &amp; Compliance</w:t>
      </w:r>
    </w:p>
    <w:p>
      <w:pPr>
        <w:spacing w:after="120"/>
      </w:pPr>
      <w:r>
        <w:rPr>
          <w:rFonts w:ascii="Calibri" w:cs="Calibri" w:eastAsia="Calibri" w:hAnsi="Calibri"/>
          <w:i/>
          <w:iCs/>
          <w:color w:val="555555"/>
          <w:sz w:val="20"/>
          <w:szCs w:val="20"/>
        </w:rPr>
        <w:t xml:space="preserve">This is telehealth: the compliance bar is materially higher than a general-purpose calling feature.</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consent-to-telehealth / consent-to-record capture exists today.</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Many jurisdictions require documented patient consent before a clinical video session, and before any recording.</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Show and log a consent step before the call connects — timestamped and tied to the patient’s record.</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If call recording is ever added, there’s currently no encryption-at-rest or access-control model for stored recordings.</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Storing sensitive medical video/audio without controls is a serious compliance exposure.</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Design encryption, access controls, and a retention policy before building recording — not after.</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immutable audit log of call metadata exists beyond the user-facing call history.</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Compliance reviews typically need a tamper-resistant record of who called whom, when, and whether consent was given.</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 a separate, append-only audit log distinct from the user-facing history.</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Hosting location / data residency for patient data isn’t yet decided.</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Some regions legally require health data to stay within the country or region.</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Confirm the hosting location against applicable data-localization rules before production launch.</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Third-party infrastructure (hosting, TURN, cloud) will touch patient data.</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Regulated healthcare data typically requires contractual safeguards with every vendor that touches it.</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Have legal review data-processing agreements with each infrastructure vendor.</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bl>
    <w:p>
      <w:pPr>
        <w:spacing w:after="200"/>
      </w:pPr>
    </w:p>
    <w:p>
      <w:pPr>
        <w:pStyle w:val="Heading2"/>
        <w:spacing w:after="100" w:before="220"/>
      </w:pPr>
      <w:r>
        <w:t xml:space="preserve">10. App Store / Play Store Submission Risk</w:t>
      </w:r>
    </w:p>
    <w:p>
      <w:pPr>
        <w:spacing w:after="120"/>
      </w:pPr>
      <w:r>
        <w:rPr>
          <w:rFonts w:ascii="Calibri" w:cs="Calibri" w:eastAsia="Calibri" w:hAnsi="Calibri"/>
          <w:i/>
          <w:iCs/>
          <w:color w:val="555555"/>
          <w:sz w:val="20"/>
          <w:szCs w:val="20"/>
        </w:rPr>
        <w:t xml:space="preserve">Practical launch risk — a technically working app can still be rejected or delayed at submission.</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Missing VoIP background-mode declaration in the iOS Info.plist.</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common cause of App Store rejection for calling apps specifically.</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Declare the voip background mode and test it matches actual CallKit/PushKit usage.</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Vague or missing camera/microphone permission justification strings.</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One of the most common rejection reasons on both stores.</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 precise, specific usage descriptions tied to the actual calling feature.</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Health-adjacent app categorization.</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Can trigger longer or additional review cycles on both stores.</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Budget extra time into the launch schedule for review.</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Google Play Data Safety form inaccuracies.</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Mismatches between disclosed and actual data handling are a common post-launch suspension trigger.</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Keep the Data Safety form in sync with what the app actually collects and transmits, every release.</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bl>
    <w:p>
      <w:pPr>
        <w:spacing w:after="200"/>
      </w:pPr>
    </w:p>
    <w:p>
      <w:pPr>
        <w:pStyle w:val="Heading2"/>
        <w:spacing w:after="100" w:before="220"/>
      </w:pPr>
      <w:r>
        <w:t xml:space="preserve">11. Scalability &amp; Infrastructure</w:t>
      </w:r>
    </w:p>
    <w:p>
      <w:pPr>
        <w:spacing w:after="120"/>
      </w:pPr>
      <w:r>
        <w:rPr>
          <w:rFonts w:ascii="Calibri" w:cs="Calibri" w:eastAsia="Calibri" w:hAnsi="Calibri"/>
          <w:i/>
          <w:iCs/>
          <w:color w:val="555555"/>
          <w:sz w:val="20"/>
          <w:szCs w:val="20"/>
        </w:rPr>
        <w:t xml:space="preserve">What breaks between "works in a demo" and "works for real patient volume."</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TURN server deployed (see also Network &amp; Connectivity above).</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Repeated here because it is the single highest-impact gap before any real usage.</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Same mitigation as above — this blocks production readiness on its own.</w:t>
            </w:r>
          </w:p>
        </w:tc>
        <w:tc>
          <w:tcPr>
            <w:tcW w:type="dxa" w:w="1800"/>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Development currently runs against an in-memory or local database, not a production deployment.</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 would not persist reliably or safely in this state.</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Provision a managed, backed-up MongoDB instance for production.</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P0 – Blocker</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monitoring or alerting on call failure rates.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Systemic issues (e.g., the TURN server going down) would only surface through user complaints.</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Add basic call-success-rate monitoring and alerting before launch.</w:t>
            </w:r>
          </w:p>
        </w:tc>
        <w:tc>
          <w:tcPr>
            <w:tcW w:type="dxa" w:w="1800"/>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load testing has been performed.</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Behavior under real concurrent doctor/patient call volume is currently unknown.</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Run load tests simulating expected peak concurrent call volume before go-live.</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P1 – Required for launch</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Single signaling server instance, no redundancy.</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server restart currently drops every active call and all in-memory state at once.</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Plan for redundancy / horizontal scaling of the signaling layer as usage grows.</w:t>
            </w:r>
          </w:p>
        </w:tc>
        <w:tc>
          <w:tcPr>
            <w:tcW w:type="dxa" w:w="1800"/>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bl>
    <w:p>
      <w:pPr>
        <w:spacing w:after="200"/>
      </w:pPr>
    </w:p>
    <w:p>
      <w:pPr>
        <w:pStyle w:val="Heading2"/>
        <w:spacing w:after="100" w:before="220"/>
      </w:pPr>
      <w:r>
        <w:t xml:space="preserve">12. UX &amp; Accessibility</w:t>
      </w:r>
    </w:p>
    <w:p>
      <w:pPr>
        <w:spacing w:after="120"/>
      </w:pPr>
      <w:r>
        <w:rPr>
          <w:rFonts w:ascii="Calibri" w:cs="Calibri" w:eastAsia="Calibri" w:hAnsi="Calibri"/>
          <w:i/>
          <w:iCs/>
          <w:color w:val="555555"/>
          <w:sz w:val="20"/>
          <w:szCs w:val="20"/>
        </w:rPr>
        <w:t xml:space="preserve">Polish items that matter for trust and adoption, even once the core feature works.</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600"/>
        <w:gridCol w:w="1800"/>
      </w:tblGrid>
      <w:tr>
        <w:trPr>
          <w:tblHeader/>
        </w:trPr>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Edge Case</w:t>
            </w:r>
          </w:p>
        </w:tc>
        <w:tc>
          <w:tcPr>
            <w:tcW w:type="dxa" w:w="3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Matters</w:t>
            </w:r>
          </w:p>
        </w:tc>
        <w:tc>
          <w:tcPr>
            <w:tcW w:type="dxa" w:w="5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Mitigation</w:t>
            </w:r>
          </w:p>
        </w:tc>
        <w:tc>
          <w:tcPr>
            <w:tcW w:type="dxa" w:w="18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 / Status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visual indication of call quality (weak signal, packet loss).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Doctor or patient is left guessing why a call is choppy.</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Surface a simple connection-quality indicator during calls.</w:t>
            </w:r>
          </w:p>
        </w:tc>
        <w:tc>
          <w:tcPr>
            <w:tcW w:type="dxa" w:w="1800"/>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r>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accessibility support considered yet (screen reader labels, captions).</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Matters both for inclusivity and, in some jurisdictions, for healthcare app compliance.</w:t>
            </w:r>
          </w:p>
        </w:tc>
        <w:tc>
          <w:tcPr>
            <w:tcW w:type="dxa" w:w="5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Add accessibility labeling, and consider captions as a follow-up phase.</w:t>
            </w:r>
          </w:p>
        </w:tc>
        <w:tc>
          <w:tcPr>
            <w:tcW w:type="dxa" w:w="1800"/>
            <w:shd w:fill="F2F2F2" w:val="clear"/>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localization / multi-language support yet.</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patient population is likely to be linguistically diverse.</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Plan for localized UI strings ahead of broader rollout.</w:t>
            </w:r>
          </w:p>
        </w:tc>
        <w:tc>
          <w:tcPr>
            <w:tcW w:type="dxa" w:w="1800"/>
            <w:tcMar>
              <w:top w:type="dxa" w:w="80"/>
              <w:left w:type="dxa" w:w="100"/>
              <w:bottom w:type="dxa" w:w="80"/>
              <w:right w:type="dxa" w:w="100"/>
            </w:tcMar>
            <w:vAlign w:val="center"/>
          </w:tcPr>
          <w:p>
            <w:r>
              <w:rPr>
                <w:rFonts w:ascii="Calibri" w:cs="Calibri" w:eastAsia="Calibri" w:hAnsi="Calibri"/>
                <w:b/>
                <w:bCs/>
                <w:color w:val="548235"/>
                <w:sz w:val="20"/>
                <w:szCs w:val="20"/>
              </w:rPr>
              <w:t xml:space="preserve">P2 – Enhancement</w:t>
            </w:r>
          </w:p>
        </w:tc>
      </w:tr>
    </w:tbl>
    <w:p>
      <w:pPr>
        <w:spacing w:after="200"/>
      </w:pPr>
    </w:p>
    <w:p>
      <w:pPr>
        <w:pBdr>
          <w:top w:val="single" w:color="AAAAAA" w:sz="6"/>
        </w:pBdr>
        <w:spacing w:after="200" w:before="200"/>
      </w:pPr>
      <w:r>
        <w:rPr>
          <w:rFonts w:ascii="Calibri" w:cs="Calibri" w:eastAsia="Calibri" w:hAnsi="Calibri"/>
          <w:i/>
          <w:iCs/>
          <w:color w:val="555555"/>
          <w:sz w:val="19"/>
          <w:szCs w:val="19"/>
        </w:rPr>
        <w:t xml:space="preserve">Note on compliance items: the security/compliance and app-store sections above reference general categories of obligation (patient consent, data residency, health-data handling) that commonly apply to telehealth products. This is not legal advice. The specific framework that applies — HIPAA, India’s Telemedicine Practice Guidelines and DPDP Act, GDPR, or another jurisdiction’s rules — depends on where your doctors and patients are located, and should be confirmed with qualified legal counsel before launch.</w:t>
      </w:r>
    </w:p>
    <w:p>
      <w:pPr>
        <w:sectPr>
          <w:pgSz w:w="15840" w:h="12240" w:orient="landscape"/>
          <w:pgMar w:top="720" w:right="720" w:bottom="720" w:left="720" w:header="708" w:footer="708" w:gutter="0"/>
          <w:pgNumType/>
          <w:titlePg w:val="false"/>
          <w:docGrid w:linePitch="360"/>
        </w:sectPr>
      </w:pPr>
    </w:p>
    <w:p>
      <w:pPr>
        <w:pStyle w:val="Heading1"/>
        <w:spacing w:after="140" w:before="320"/>
      </w:pPr>
      <w:r>
        <w:t xml:space="preserve">Testing &amp; QA Strategy</w:t>
      </w:r>
    </w:p>
    <w:p>
      <w:pPr>
        <w:spacing w:after="160"/>
      </w:pPr>
      <w:r>
        <w:rPr>
          <w:rFonts w:ascii="Calibri" w:cs="Calibri" w:eastAsia="Calibri" w:hAnsi="Calibri"/>
          <w:sz w:val="22"/>
          <w:szCs w:val="22"/>
        </w:rPr>
        <w:t xml:space="preserve">Throughout this build, every protocol-level change has been verified against the real backend using a genuine WebRTC implementation standing in for real callers — real SDP offers/answers, real ICE negotiation, real signaling races — not a mocked handshake. That approach caught real bugs code review alone missed (including one that would have silently broken every outgoing call), and it’s the same standard I’d recommend applying to every P0 and P1 item above before it’s marked done:</w:t>
      </w:r>
    </w:p>
    <w:p>
      <w:pPr>
        <w:pStyle w:val="ListParagraph"/>
        <w:numPr>
          <w:ilvl w:val="0"/>
          <w:numId w:val="1"/>
        </w:numPr>
        <w:spacing w:after="80"/>
      </w:pPr>
      <w:r>
        <w:rPr>
          <w:rFonts w:ascii="Calibri" w:cs="Calibri" w:eastAsia="Calibri" w:hAnsi="Calibri"/>
          <w:sz w:val="22"/>
          <w:szCs w:val="22"/>
        </w:rPr>
        <w:t xml:space="preserve">Automated regression tests for each risk category above, re-run on every change — not just manual click-through testing.</w:t>
      </w:r>
    </w:p>
    <w:p>
      <w:pPr>
        <w:pStyle w:val="ListParagraph"/>
        <w:numPr>
          <w:ilvl w:val="0"/>
          <w:numId w:val="1"/>
        </w:numPr>
        <w:spacing w:after="80"/>
      </w:pPr>
      <w:r>
        <w:rPr>
          <w:rFonts w:ascii="Calibri" w:cs="Calibri" w:eastAsia="Calibri" w:hAnsi="Calibri"/>
          <w:sz w:val="22"/>
          <w:szCs w:val="22"/>
        </w:rPr>
        <w:t xml:space="preserve">A device lab matrix: a representative spread of iOS versions and Android OEMs (particularly the battery-aggressive ones called out in Section 6), not just one or two development phones.</w:t>
      </w:r>
    </w:p>
    <w:p>
      <w:pPr>
        <w:pStyle w:val="ListParagraph"/>
        <w:numPr>
          <w:ilvl w:val="0"/>
          <w:numId w:val="1"/>
        </w:numPr>
        <w:spacing w:after="80"/>
      </w:pPr>
      <w:r>
        <w:rPr>
          <w:rFonts w:ascii="Calibri" w:cs="Calibri" w:eastAsia="Calibri" w:hAnsi="Calibri"/>
          <w:sz w:val="22"/>
          <w:szCs w:val="22"/>
        </w:rPr>
        <w:t xml:space="preserve">Network-condition simulation — throttled bandwidth, packet loss, and connection drops — rather than only testing on fast, stable office wifi.</w:t>
      </w:r>
    </w:p>
    <w:p>
      <w:pPr>
        <w:pStyle w:val="ListParagraph"/>
        <w:numPr>
          <w:ilvl w:val="0"/>
          <w:numId w:val="1"/>
        </w:numPr>
        <w:spacing w:after="80"/>
      </w:pPr>
      <w:r>
        <w:rPr>
          <w:rFonts w:ascii="Calibri" w:cs="Calibri" w:eastAsia="Calibri" w:hAnsi="Calibri"/>
          <w:sz w:val="22"/>
          <w:szCs w:val="22"/>
        </w:rPr>
        <w:t xml:space="preserve">A small, closely supervised pilot with real doctors and patients before broader rollout, with monitoring in place to catch failures the test matrix didn’t anticipate.</w:t>
      </w:r>
    </w:p>
    <w:p>
      <w:pPr>
        <w:pStyle w:val="Heading1"/>
        <w:spacing w:after="140" w:before="320"/>
      </w:pPr>
      <w:r>
        <w:t xml:space="preserve">Suggested Priority Roadmap</w:t>
      </w:r>
    </w:p>
    <w:p>
      <w:pPr>
        <w:spacing w:after="160"/>
      </w:pPr>
      <w:r>
        <w:rPr>
          <w:rFonts w:ascii="Calibri" w:cs="Calibri" w:eastAsia="Calibri" w:hAnsi="Calibri"/>
          <w:sz w:val="22"/>
          <w:szCs w:val="22"/>
        </w:rPr>
        <w:t xml:space="preserve">Grouping the register above into a rough sequence, rather than tackling all 12 categories in parallel:</w:t>
      </w:r>
    </w:p>
    <w:p>
      <w:pPr>
        <w:pStyle w:val="Heading2"/>
        <w:spacing w:after="100" w:before="220"/>
      </w:pPr>
      <w:r>
        <w:t xml:space="preserve">Phase 1 — Before any real patient uses this (P0)</w:t>
      </w:r>
    </w:p>
    <w:p>
      <w:pPr>
        <w:pStyle w:val="ListParagraph"/>
        <w:numPr>
          <w:ilvl w:val="0"/>
          <w:numId w:val="1"/>
        </w:numPr>
        <w:spacing w:after="80"/>
      </w:pPr>
      <w:r>
        <w:rPr>
          <w:rFonts w:ascii="Calibri" w:cs="Calibri" w:eastAsia="Calibri" w:hAnsi="Calibri"/>
          <w:sz w:val="22"/>
          <w:szCs w:val="22"/>
        </w:rPr>
        <w:t xml:space="preserve">Server-side enforcement of doctor-only call initiation, plus appointment-linkage validation.</w:t>
      </w:r>
    </w:p>
    <w:p>
      <w:pPr>
        <w:pStyle w:val="ListParagraph"/>
        <w:numPr>
          <w:ilvl w:val="0"/>
          <w:numId w:val="1"/>
        </w:numPr>
        <w:spacing w:after="80"/>
      </w:pPr>
      <w:r>
        <w:rPr>
          <w:rFonts w:ascii="Calibri" w:cs="Calibri" w:eastAsia="Calibri" w:hAnsi="Calibri"/>
          <w:sz w:val="22"/>
          <w:szCs w:val="22"/>
        </w:rPr>
        <w:t xml:space="preserve">TURN server deployment.</w:t>
      </w:r>
    </w:p>
    <w:p>
      <w:pPr>
        <w:pStyle w:val="ListParagraph"/>
        <w:numPr>
          <w:ilvl w:val="0"/>
          <w:numId w:val="1"/>
        </w:numPr>
        <w:spacing w:after="80"/>
      </w:pPr>
      <w:r>
        <w:rPr>
          <w:rFonts w:ascii="Calibri" w:cs="Calibri" w:eastAsia="Calibri" w:hAnsi="Calibri"/>
          <w:sz w:val="22"/>
          <w:szCs w:val="22"/>
        </w:rPr>
        <w:t xml:space="preserve">Native iOS (CallKit/PushKit) and Android (ConnectionService/foreground service/FCM) integration for reliable incoming calls.</w:t>
      </w:r>
    </w:p>
    <w:p>
      <w:pPr>
        <w:pStyle w:val="ListParagraph"/>
        <w:numPr>
          <w:ilvl w:val="0"/>
          <w:numId w:val="1"/>
        </w:numPr>
        <w:spacing w:after="80"/>
      </w:pPr>
      <w:r>
        <w:rPr>
          <w:rFonts w:ascii="Calibri" w:cs="Calibri" w:eastAsia="Calibri" w:hAnsi="Calibri"/>
          <w:sz w:val="22"/>
          <w:szCs w:val="22"/>
        </w:rPr>
        <w:t xml:space="preserve">Consent/disclosure capture flow.</w:t>
      </w:r>
    </w:p>
    <w:p>
      <w:pPr>
        <w:pStyle w:val="ListParagraph"/>
        <w:numPr>
          <w:ilvl w:val="0"/>
          <w:numId w:val="1"/>
        </w:numPr>
        <w:spacing w:after="80"/>
      </w:pPr>
      <w:r>
        <w:rPr>
          <w:rFonts w:ascii="Calibri" w:cs="Calibri" w:eastAsia="Calibri" w:hAnsi="Calibri"/>
          <w:sz w:val="22"/>
          <w:szCs w:val="22"/>
        </w:rPr>
        <w:t xml:space="preserve">Production database deployment.</w:t>
      </w:r>
    </w:p>
    <w:p>
      <w:pPr>
        <w:pStyle w:val="ListParagraph"/>
        <w:numPr>
          <w:ilvl w:val="0"/>
          <w:numId w:val="1"/>
        </w:numPr>
        <w:spacing w:after="80"/>
      </w:pPr>
      <w:r>
        <w:rPr>
          <w:rFonts w:ascii="Calibri" w:cs="Calibri" w:eastAsia="Calibri" w:hAnsi="Calibri"/>
          <w:sz w:val="22"/>
          <w:szCs w:val="22"/>
        </w:rPr>
        <w:t xml:space="preserve">Network resilience: reconnection handling and audio-only fallback.</w:t>
      </w:r>
    </w:p>
    <w:p>
      <w:pPr>
        <w:pStyle w:val="Heading2"/>
        <w:spacing w:after="100" w:before="220"/>
      </w:pPr>
      <w:r>
        <w:t xml:space="preserve">Phase 2 — Before a broader launch (P1)</w:t>
      </w:r>
    </w:p>
    <w:p>
      <w:pPr>
        <w:pStyle w:val="ListParagraph"/>
        <w:numPr>
          <w:ilvl w:val="0"/>
          <w:numId w:val="1"/>
        </w:numPr>
        <w:spacing w:after="80"/>
      </w:pPr>
      <w:r>
        <w:rPr>
          <w:rFonts w:ascii="Calibri" w:cs="Calibri" w:eastAsia="Calibri" w:hAnsi="Calibri"/>
          <w:sz w:val="22"/>
          <w:szCs w:val="22"/>
        </w:rPr>
        <w:t xml:space="preserve">Compliance audit logging, data residency confirmation, legal review of vendor agreements.</w:t>
      </w:r>
    </w:p>
    <w:p>
      <w:pPr>
        <w:pStyle w:val="ListParagraph"/>
        <w:numPr>
          <w:ilvl w:val="0"/>
          <w:numId w:val="1"/>
        </w:numPr>
        <w:spacing w:after="80"/>
      </w:pPr>
      <w:r>
        <w:rPr>
          <w:rFonts w:ascii="Calibri" w:cs="Calibri" w:eastAsia="Calibri" w:hAnsi="Calibri"/>
          <w:sz w:val="22"/>
          <w:szCs w:val="22"/>
        </w:rPr>
        <w:t xml:space="preserve">App store submission preparation (permission strings, background-mode declarations, Data Safety form).</w:t>
      </w:r>
    </w:p>
    <w:p>
      <w:pPr>
        <w:pStyle w:val="ListParagraph"/>
        <w:numPr>
          <w:ilvl w:val="0"/>
          <w:numId w:val="1"/>
        </w:numPr>
        <w:spacing w:after="80"/>
      </w:pPr>
      <w:r>
        <w:rPr>
          <w:rFonts w:ascii="Calibri" w:cs="Calibri" w:eastAsia="Calibri" w:hAnsi="Calibri"/>
          <w:sz w:val="22"/>
          <w:szCs w:val="22"/>
        </w:rPr>
        <w:t xml:space="preserve">Monitoring/alerting and load testing.</w:t>
      </w:r>
    </w:p>
    <w:p>
      <w:pPr>
        <w:pStyle w:val="ListParagraph"/>
        <w:numPr>
          <w:ilvl w:val="0"/>
          <w:numId w:val="1"/>
        </w:numPr>
        <w:spacing w:after="80"/>
      </w:pPr>
      <w:r>
        <w:rPr>
          <w:rFonts w:ascii="Calibri" w:cs="Calibri" w:eastAsia="Calibri" w:hAnsi="Calibri"/>
          <w:sz w:val="22"/>
          <w:szCs w:val="22"/>
        </w:rPr>
        <w:t xml:space="preserve">OEM battery-optimization handling for Android.</w:t>
      </w:r>
    </w:p>
    <w:p>
      <w:pPr>
        <w:pStyle w:val="Heading2"/>
        <w:spacing w:after="100" w:before="220"/>
      </w:pPr>
      <w:r>
        <w:t xml:space="preserve">Phase 3 — Post-launch enhancements (P2)</w:t>
      </w:r>
    </w:p>
    <w:p>
      <w:pPr>
        <w:pStyle w:val="ListParagraph"/>
        <w:numPr>
          <w:ilvl w:val="0"/>
          <w:numId w:val="1"/>
        </w:numPr>
        <w:spacing w:after="80"/>
      </w:pPr>
      <w:r>
        <w:rPr>
          <w:rFonts w:ascii="Calibri" w:cs="Calibri" w:eastAsia="Calibri" w:hAnsi="Calibri"/>
          <w:sz w:val="22"/>
          <w:szCs w:val="22"/>
        </w:rPr>
        <w:t xml:space="preserve">Call quality indicators, accessibility support, localization.</w:t>
      </w:r>
    </w:p>
    <w:p>
      <w:pPr>
        <w:pStyle w:val="ListParagraph"/>
        <w:numPr>
          <w:ilvl w:val="0"/>
          <w:numId w:val="1"/>
        </w:numPr>
        <w:spacing w:after="80"/>
      </w:pPr>
      <w:r>
        <w:rPr>
          <w:rFonts w:ascii="Calibri" w:cs="Calibri" w:eastAsia="Calibri" w:hAnsi="Calibri"/>
          <w:sz w:val="22"/>
          <w:szCs w:val="22"/>
        </w:rPr>
        <w:t xml:space="preserve">Multi-party/interpreter calling, if the product ever needs it.</w:t>
      </w:r>
    </w:p>
    <w:p>
      <w:pPr>
        <w:pStyle w:val="ListParagraph"/>
        <w:numPr>
          <w:ilvl w:val="0"/>
          <w:numId w:val="1"/>
        </w:numPr>
        <w:spacing w:after="80"/>
      </w:pPr>
      <w:r>
        <w:rPr>
          <w:rFonts w:ascii="Calibri" w:cs="Calibri" w:eastAsia="Calibri" w:hAnsi="Calibri"/>
          <w:sz w:val="22"/>
          <w:szCs w:val="22"/>
        </w:rPr>
        <w:t xml:space="preserve">Signaling-layer redundancy as usage scales.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2026-08-17T13:00:22.118Z</dcterms:created>
  <dcterms:modified xsi:type="dcterms:W3CDTF">2026-08-17T13:00:22.118Z</dcterms:modified>
</cp:coreProperties>
</file>

<file path=docProps/custom.xml><?xml version="1.0" encoding="utf-8"?>
<Properties xmlns="http://schemas.openxmlformats.org/officeDocument/2006/custom-properties" xmlns:vt="http://schemas.openxmlformats.org/officeDocument/2006/docPropsVTypes"/>
</file>