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b/>
          <w:sz w:val="48"/>
        </w:rPr>
        <w:t>DETAILED PROJECT REPORT (DPR)</w:t>
      </w:r>
    </w:p>
    <w:p>
      <w:pPr>
        <w:spacing w:after="560"/>
        <w:jc w:val="center"/>
      </w:pPr>
      <w:r>
        <w:rPr>
          <w:b w:val="0"/>
          <w:sz w:val="28"/>
        </w:rPr>
        <w:t>Final Project Plan for Government Submission</w:t>
      </w:r>
    </w:p>
    <w:p>
      <w:pPr>
        <w:spacing w:after="400"/>
        <w:jc w:val="center"/>
      </w:pPr>
      <w:r>
        <w:rPr>
          <w:b/>
          <w:sz w:val="36"/>
        </w:rPr>
        <w:t>SHE-MART INDIA ENTERPRISE RETAIL PLATFORM</w:t>
      </w:r>
    </w:p>
    <w:p>
      <w:pPr>
        <w:spacing w:after="800"/>
        <w:jc w:val="center"/>
      </w:pPr>
      <w:r>
        <w:rPr>
          <w:b w:val="0"/>
          <w:sz w:val="24"/>
        </w:rPr>
        <w:t>(Turnkey Implementation + Managed Hosting &amp; Operations)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Detailed Project Report (DPR)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6 Months (24 Weeks)</w:t>
            </w:r>
          </w:p>
        </w:tc>
      </w:tr>
      <w:tr>
        <w:tc>
          <w:tcPr>
            <w:tcW w:type="dxa" w:w="4320"/>
          </w:tcPr>
          <w:p>
            <w:r>
              <w:t>Geographical Scope</w:t>
            </w:r>
          </w:p>
        </w:tc>
        <w:tc>
          <w:tcPr>
            <w:tcW w:type="dxa" w:w="4320"/>
          </w:tcPr>
          <w:p>
            <w:r>
              <w:t>Pan-India (Up to 1,500 Outlets)</w:t>
            </w:r>
          </w:p>
        </w:tc>
      </w:tr>
      <w:tr>
        <w:tc>
          <w:tcPr>
            <w:tcW w:type="dxa" w:w="4320"/>
          </w:tcPr>
          <w:p>
            <w:r>
              <w:t>Maximum User Capacity</w:t>
            </w:r>
          </w:p>
        </w:tc>
        <w:tc>
          <w:tcPr>
            <w:tcW w:type="dxa" w:w="4320"/>
          </w:tcPr>
          <w:p>
            <w:r>
              <w:t>Up to 22,50,000 Registered Users</w:t>
            </w:r>
          </w:p>
        </w:tc>
      </w:tr>
      <w:tr>
        <w:tc>
          <w:tcPr>
            <w:tcW w:type="dxa" w:w="4320"/>
          </w:tcPr>
          <w:p>
            <w:r>
              <w:t>Infrastructure Baseline</w:t>
            </w:r>
          </w:p>
        </w:tc>
        <w:tc>
          <w:tcPr>
            <w:tcW w:type="dxa" w:w="4320"/>
          </w:tcPr>
          <w:p>
            <w:r>
              <w:t>Section 3 Model (Approved)</w:t>
            </w:r>
          </w:p>
        </w:tc>
      </w:tr>
      <w:tr>
        <w:tc>
          <w:tcPr>
            <w:tcW w:type="dxa" w:w="4320"/>
          </w:tcPr>
          <w:p>
            <w:r>
              <w:t>Prepared For</w:t>
            </w:r>
          </w:p>
        </w:tc>
        <w:tc>
          <w:tcPr>
            <w:tcW w:type="dxa" w:w="4320"/>
          </w:tcPr>
          <w:p>
            <w:r>
              <w:t>Government Department / Competent Authority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Codework Software Systems Pvt. Ltd.</w:t>
            </w:r>
          </w:p>
        </w:tc>
      </w:tr>
      <w:tr>
        <w:tc>
          <w:tcPr>
            <w:tcW w:type="dxa" w:w="4320"/>
          </w:tcPr>
          <w:p>
            <w:r>
              <w:t>Proposal Reference</w:t>
            </w:r>
          </w:p>
        </w:tc>
        <w:tc>
          <w:tcPr>
            <w:tcW w:type="dxa" w:w="4320"/>
          </w:tcPr>
          <w:p>
            <w:r>
              <w:t>CSSPL-DMART-2026-003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p/>
    <w:p/>
    <w:p/>
    <w:p/>
    <w:p/>
    <w:p>
      <w:pPr>
        <w:spacing w:after="60"/>
        <w:jc w:val="center"/>
      </w:pPr>
      <w:r>
        <w:rPr>
          <w:b/>
          <w:sz w:val="20"/>
        </w:rPr>
        <w:t>CONFIDENTIAL DOCUMENT</w:t>
      </w:r>
    </w:p>
    <w:p>
      <w:pPr>
        <w:spacing w:after="0"/>
        <w:jc w:val="center"/>
      </w:pPr>
      <w:r>
        <w:rPr>
          <w:b w:val="0"/>
          <w:sz w:val="20"/>
        </w:rPr>
        <w:t>For official evaluation and approval process only</w:t>
      </w:r>
    </w:p>
    <w:p>
      <w:r>
        <w:br w:type="page"/>
      </w:r>
    </w:p>
    <w:p>
      <w:pPr>
        <w:spacing w:after="320"/>
        <w:jc w:val="center"/>
      </w:pPr>
      <w:r>
        <w:rPr>
          <w:b/>
          <w:sz w:val="36"/>
        </w:rPr>
        <w:t>APPROVAL AND SIGNATURE PAGE</w:t>
      </w:r>
    </w:p>
    <w:p>
      <w:pPr>
        <w:spacing w:after="280"/>
      </w:pPr>
      <w:r>
        <w:t>This Detailed Project Report (DPR) has been reviewed and is submitted for administrative and financial approval as per applicable government procedures and departmental norms.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SHE-Mart India Enterprise Retail Platform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Detailed Project Report (DPR) – Final Project Plan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Contract Value Reference</w:t>
            </w:r>
          </w:p>
        </w:tc>
        <w:tc>
          <w:tcPr>
            <w:tcW w:type="dxa" w:w="4320"/>
          </w:tcPr>
          <w:p>
            <w:r>
              <w:t>₹1,08,46,710 (excluding applicable taxes)</w:t>
            </w:r>
          </w:p>
        </w:tc>
      </w:tr>
      <w:tr>
        <w:tc>
          <w:tcPr>
            <w:tcW w:type="dxa" w:w="4320"/>
          </w:tcPr>
          <w:p>
            <w:r>
              <w:t>5-Year Cost Projection</w:t>
            </w:r>
          </w:p>
        </w:tc>
        <w:tc>
          <w:tcPr>
            <w:tcW w:type="dxa" w:w="4320"/>
          </w:tcPr>
          <w:p>
            <w:r>
              <w:t>₹7.61 Cr – ₹12.98 Cr (Development + O&amp;M)</w:t>
            </w:r>
          </w:p>
        </w:tc>
      </w:tr>
    </w:tbl>
    <w:p/>
    <w:p>
      <w:r>
        <w:rPr>
          <w:b/>
        </w:rPr>
        <w:t>Approval Matrix: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Name &amp; Designation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Prepared By (Implementing Agency)</w:t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</w:tr>
      <w:tr>
        <w:tc>
          <w:tcPr>
            <w:tcW w:type="dxa" w:w="2160"/>
          </w:tcPr>
          <w:p>
            <w:r>
              <w:t>Reviewed By (Nodal Officer)</w:t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</w:tr>
      <w:tr>
        <w:tc>
          <w:tcPr>
            <w:tcW w:type="dxa" w:w="2160"/>
          </w:tcPr>
          <w:p>
            <w:r>
              <w:t>Technical Approval (Competent Authority)</w:t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</w:tr>
      <w:tr>
        <w:tc>
          <w:tcPr>
            <w:tcW w:type="dxa" w:w="2160"/>
          </w:tcPr>
          <w:p>
            <w:r>
              <w:t>Financial Concurrence (Finance Wing)</w:t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</w:tr>
      <w:tr>
        <w:tc>
          <w:tcPr>
            <w:tcW w:type="dxa" w:w="2160"/>
          </w:tcPr>
          <w:p>
            <w:r>
              <w:t>Administrative Approval (Department Head)</w:t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  <w:tc>
          <w:tcPr>
            <w:tcW w:type="dxa" w:w="2160"/>
          </w:tcPr>
          <w:p>
            <w:r>
              <w:br/>
              <w:br/>
            </w:r>
          </w:p>
        </w:tc>
      </w:tr>
    </w:tbl>
    <w:p>
      <w:pPr>
        <w:spacing w:before="240"/>
      </w:pPr>
      <w:r>
        <w:rPr>
          <w:b/>
        </w:rPr>
        <w:t>Notes:</w:t>
      </w:r>
    </w:p>
    <w:p>
      <w:pPr>
        <w:pStyle w:val="ListBullet"/>
      </w:pPr>
      <w:r>
        <w:t>All signatures shall be made by authorized officials only.</w:t>
      </w:r>
    </w:p>
    <w:p>
      <w:pPr>
        <w:pStyle w:val="ListBullet"/>
      </w:pPr>
      <w:r>
        <w:t>Any amendment to scope, timelines, or financials shall require documented approval as per change-control procedure.</w:t>
      </w:r>
    </w:p>
    <w:p>
      <w:pPr>
        <w:pStyle w:val="ListBullet"/>
      </w:pPr>
      <w:r>
        <w:t>This page forms an integral part of the DPR submission package.</w:t>
      </w:r>
    </w:p>
    <w:p/>
    <w:p/>
    <w:p>
      <w:pPr>
        <w:spacing w:after="0"/>
        <w:jc w:val="center"/>
      </w:pPr>
      <w:r>
        <w:rPr>
          <w:b w:val="0"/>
          <w:sz w:val="20"/>
        </w:rPr>
        <w:t>End of Cover and Approval/Signature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