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/>
      </w:tblGrid>
      <w:tblPr>
        <w:tblW w:w="5000" w:type="pct"/>
        <w:tblLayout w:type="fixed"/>
        <w:tblCellMar>
          <w:top w:w="260" w:type="dxa"/>
          <w:left w:w="500" w:type="dxa"/>
          <w:right w:w="500" w:type="dxa"/>
          <w:bottom w:w="260" w:type="dxa"/>
        </w:tblCellMar>
        <w:tblBorders>
          <w:top w:val="single" w:sz="1" w:color="FBE3D6"/>
          <w:left w:val="single" w:sz="1" w:color="FBE3D6"/>
          <w:right w:val="single" w:sz="1" w:color="FBE3D6"/>
          <w:bottom w:val="single" w:sz="1" w:color="FBE3D6"/>
          <w:insideH w:val="single" w:sz="1" w:color="FBE3D6"/>
          <w:insideV w:val="single" w:sz="1" w:color="FBE3D6"/>
        </w:tblBorders>
      </w:tblPr>
      <w:tr>
        <w:trPr>
          <w:trHeight w:val="14800" w:hRule="exact"/>
          <w:cantSplit w:val="1"/>
        </w:trPr>
        <w:tc>
          <w:tcPr>
            <w:vAlign w:val="top"/>
            <w:tcBorders>
              <w:top w:val="single" w:sz="1" w:color="FBE3D6"/>
              <w:left w:val="single" w:sz="1" w:color="FBE3D6"/>
              <w:right w:val="single" w:sz="1" w:color="FBE3D6"/>
              <w:bottom w:val="single" w:sz="1" w:color="FBE3D6"/>
            </w:tcBorders>
            <w:shd w:val="clear" w:fill="FBE3D6"/>
            <w:noWrap/>
          </w:tcPr>
          <w:p>
            <w:pPr>
              <w:spacing w:after="1320"/>
            </w:pPr>
            <w:r>
              <w:rPr>
                <w:rFonts w:ascii="Georgia" w:hAnsi="Georgia" w:eastAsia="Georgia" w:cs="Georgia"/>
                <w:color w:val="111111"/>
                <w:sz w:val="56"/>
                <w:szCs w:val="56"/>
                <w:b w:val="1"/>
                <w:bCs w:val="1"/>
                <w:i w:val="1"/>
                <w:iCs w:val="1"/>
              </w:rPr>
              <w:t xml:space="preserve">pwc</w:t>
            </w:r>
            <w:r>
              <w:rPr>
                <w:rFonts w:ascii="Arial" w:hAnsi="Arial" w:eastAsia="Arial" w:cs="Arial"/>
                <w:color w:val="D04A02"/>
                <w:sz w:val="20"/>
                <w:szCs w:val="20"/>
                <w:b w:val="1"/>
                <w:bCs w:val="1"/>
              </w:rPr>
              <w:t xml:space="preserve">  |  MUY</w:t>
            </w:r>
          </w:p>
          <w:p>
            <w:pPr>
              <w:jc w:val="left"/>
              <w:spacing w:after="80"/>
            </w:pPr>
            <w:r>
              <w:rPr>
                <w:rFonts w:ascii="Arial" w:hAnsi="Arial" w:eastAsia="Arial" w:cs="Arial"/>
                <w:color w:val="B53A00"/>
                <w:sz w:val="68"/>
                <w:szCs w:val="68"/>
                <w:b w:val="1"/>
                <w:bCs w:val="1"/>
              </w:rPr>
              <w:t xml:space="preserve">Monthly Progress</w:t>
            </w:r>
          </w:p>
          <w:p>
            <w:pPr>
              <w:jc w:val="left"/>
              <w:spacing w:after="300"/>
            </w:pPr>
            <w:r>
              <w:rPr>
                <w:rFonts w:ascii="Arial" w:hAnsi="Arial" w:eastAsia="Arial" w:cs="Arial"/>
                <w:color w:val="B53A00"/>
                <w:sz w:val="68"/>
                <w:szCs w:val="68"/>
                <w:b w:val="1"/>
                <w:bCs w:val="1"/>
              </w:rPr>
              <w:t xml:space="preserve">Report</w:t>
            </w:r>
          </w:p>
          <w:p>
            <w:pPr>
              <w:jc w:val="left"/>
              <w:spacing w:after="40"/>
            </w:pPr>
            <w:r>
              <w:rPr>
                <w:rFonts w:ascii="Arial" w:hAnsi="Arial" w:eastAsia="Arial" w:cs="Arial"/>
                <w:color w:val="B53A00"/>
                <w:sz w:val="38"/>
                <w:szCs w:val="38"/>
              </w:rPr>
              <w:t xml:space="preserve">Mukhyamantri Udyamshala</w:t>
            </w:r>
          </w:p>
          <w:p>
            <w:pPr>
              <w:jc w:val="left"/>
              <w:spacing w:after="650"/>
            </w:pPr>
            <w:r>
              <w:rPr>
                <w:rFonts w:ascii="Arial" w:hAnsi="Arial" w:eastAsia="Arial" w:cs="Arial"/>
                <w:color w:val="B53A00"/>
                <w:sz w:val="38"/>
                <w:szCs w:val="38"/>
              </w:rPr>
              <w:t xml:space="preserve">Yojana</w:t>
            </w:r>
          </w:p>
          <w:p>
            <w:pPr>
              <w:jc w:val="left"/>
              <w:spacing w:after="950"/>
            </w:pPr>
            <w:r>
              <w:rPr>
                <w:rFonts w:ascii="Arial" w:hAnsi="Arial" w:eastAsia="Arial" w:cs="Arial"/>
                <w:color w:val="B53A00"/>
                <w:sz w:val="42"/>
                <w:szCs w:val="42"/>
              </w:rPr>
              <w:t xml:space="preserve">August 2026</w:t>
            </w:r>
          </w:p>
          <w:tbl>
            <w:tblGrid>
              <w:gridCol w:w="3900" w:type="dxa"/>
              <w:gridCol w:w="700" w:type="dxa"/>
              <w:gridCol w:w="3900" w:type="dxa"/>
            </w:tblGrid>
            <w:tblPr>
              <w:tblW w:w="5000" w:type="pct"/>
              <w:tblLayout w:type="fixed"/>
              <w:tblBorders>
                <w:top w:val="single" w:sz="1" w:color="FBE3D6"/>
                <w:left w:val="single" w:sz="1" w:color="FBE3D6"/>
                <w:right w:val="single" w:sz="1" w:color="FBE3D6"/>
                <w:bottom w:val="single" w:sz="1" w:color="FBE3D6"/>
                <w:insideH w:val="single" w:sz="1" w:color="FBE3D6"/>
                <w:insideV w:val="single" w:sz="1" w:color="FBE3D6"/>
              </w:tblBorders>
            </w:tblPr>
            <w:tr>
              <w:trPr>
                <w:trHeight w:val="500" w:hRule="exact"/>
              </w:trPr>
              <w:tc>
                <w:tcPr>
                  <w:tcW w:w="3900" w:type="dxa"/>
                  <w:tcBorders>
                    <w:top w:val="single" w:sz="1" w:color="FF5A00"/>
                    <w:left w:val="single" w:sz="1" w:color="FF5A00"/>
                    <w:right w:val="single" w:sz="1" w:color="FF5A00"/>
                    <w:bottom w:val="single" w:sz="1" w:color="FF5A00"/>
                  </w:tcBorders>
                  <w:shd w:val="clear" w:fill="FF5A00"/>
                  <w:noWrap/>
                </w:tcPr>
                <w:p/>
              </w:tc>
              <w:tc>
                <w:tcPr>
                  <w:tcW w:w="700" w:type="dxa"/>
                  <w:tcBorders>
                    <w:top w:val="single" w:sz="1" w:color="FBE3D6"/>
                    <w:left w:val="single" w:sz="1" w:color="FBE3D6"/>
                    <w:right w:val="single" w:sz="1" w:color="FBE3D6"/>
                    <w:bottom w:val="single" w:sz="1" w:color="FBE3D6"/>
                  </w:tcBorders>
                  <w:shd w:val="clear" w:fill="FBE3D6"/>
                  <w:noWrap/>
                </w:tcPr>
                <w:p/>
              </w:tc>
              <w:tc>
                <w:tcPr>
                  <w:tcW w:w="3900" w:type="dxa"/>
                  <w:tcBorders>
                    <w:top w:val="single" w:sz="1" w:color="FF5A00"/>
                    <w:left w:val="single" w:sz="1" w:color="FF5A00"/>
                    <w:right w:val="single" w:sz="1" w:color="FF5A00"/>
                    <w:bottom w:val="single" w:sz="1" w:color="FF5A00"/>
                  </w:tcBorders>
                  <w:shd w:val="clear" w:fill="FF5A00"/>
                  <w:noWrap/>
                </w:tcPr>
                <w:p/>
              </w:tc>
            </w:tr>
          </w:tbl>
          <w:p>
            <w:pPr>
              <w:jc w:val="center"/>
              <w:spacing w:before="1250" w:after="0"/>
            </w:pPr>
            <w:r>
              <w:rPr>
                <w:rFonts w:ascii="Arial" w:hAnsi="Arial" w:eastAsia="Arial" w:cs="Arial"/>
                <w:color w:val="111111"/>
                <w:sz w:val="16"/>
                <w:szCs w:val="16"/>
                <w:b w:val="1"/>
                <w:bCs w:val="1"/>
              </w:rPr>
              <w:t xml:space="preserve">Private &amp; Confidential</w:t>
            </w:r>
          </w:p>
        </w:tc>
      </w:tr>
    </w:tbl>
    <w:p>
      <w:pPr>
        <w:sectPr>
          <w:pgSz w:orient="portrait" w:w="11905.511811023622" w:h="16837.79527559055"/>
          <w:pgMar w:top="369" w:right="369" w:bottom="369" w:left="369" w:header="255" w:footer="255" w:gutter="0"/>
          <w:cols w:num="1" w:space="720"/>
        </w:sectPr>
      </w:pPr>
    </w:p>
    <w:p>
      <w:pPr>
        <w:pStyle w:val="Heading1"/>
      </w:pPr>
      <w:bookmarkStart w:id="0" w:name="_Toc0"/>
      <w:r>
        <w:t>Contents</w:t>
      </w:r>
      <w:bookmarkEnd w:id="0"/>
    </w:p>
    <w:tbl>
      <w:tblGrid>
        <w:gridCol w:w="620" w:type="dxa"/>
        <w:gridCol w:w="8200" w:type="dxa"/>
      </w:tblGrid>
      <w:tblPr>
        <w:tblW w:w="5000" w:type="pct"/>
        <w:tblLayout w:type="fixed"/>
        <w:tblCellMar>
          <w:top w:w="30" w:type="dxa"/>
          <w:left w:w="35" w:type="dxa"/>
          <w:right w:w="35" w:type="dxa"/>
          <w:bottom w:w="30" w:type="dxa"/>
        </w:tblCellMar>
        <w:tblBorders>
          <w:top w:val="single" w:sz="1" w:color="FFFFFF"/>
          <w:left w:val="single" w:sz="1" w:color="FFFFFF"/>
          <w:right w:val="single" w:sz="1" w:color="FFFFFF"/>
          <w:bottom w:val="single" w:sz="1" w:color="FFFFFF"/>
          <w:insideH w:val="single" w:sz="1" w:color="FFFFFF"/>
          <w:insideV w:val="single" w:sz="1" w:color="FFFFFF"/>
        </w:tblBorders>
      </w:tblPr>
      <w:tr>
        <w:trPr>
          <w:trHeight w:val="390" w:hRule="atLeast"/>
          <w:cantSplit w:val="1"/>
        </w:trPr>
        <w:tc>
          <w:tcPr>
            <w:tcW w:w="62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  <w:b w:val="1"/>
                <w:bCs w:val="1"/>
              </w:rPr>
              <w:t xml:space="preserve">1.</w:t>
            </w:r>
          </w:p>
        </w:tc>
        <w:tc>
          <w:tcPr>
            <w:tcW w:w="820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</w:rPr>
              <w:t xml:space="preserve">Progress in Mukhyamantri Udyamshala Yojana (MUY)</w:t>
            </w: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 ................................................................</w:t>
            </w:r>
          </w:p>
        </w:tc>
      </w:tr>
      <w:tr>
        <w:trPr>
          <w:trHeight w:val="390" w:hRule="atLeast"/>
          <w:cantSplit w:val="1"/>
        </w:trPr>
        <w:tc>
          <w:tcPr>
            <w:tcW w:w="62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  <w:b w:val="1"/>
                <w:bCs w:val="1"/>
              </w:rPr>
              <w:t xml:space="preserve">2.</w:t>
            </w:r>
          </w:p>
        </w:tc>
        <w:tc>
          <w:tcPr>
            <w:tcW w:w="820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</w:rPr>
              <w:t xml:space="preserve">Quantitative Progress - Plan vs Achievements</w:t>
            </w: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 ................................................................</w:t>
            </w:r>
          </w:p>
        </w:tc>
      </w:tr>
      <w:tr>
        <w:trPr>
          <w:trHeight w:val="390" w:hRule="atLeast"/>
          <w:cantSplit w:val="1"/>
        </w:trPr>
        <w:tc>
          <w:tcPr>
            <w:tcW w:w="62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  <w:b w:val="1"/>
                <w:bCs w:val="1"/>
              </w:rPr>
              <w:t xml:space="preserve">3.</w:t>
            </w:r>
          </w:p>
        </w:tc>
        <w:tc>
          <w:tcPr>
            <w:tcW w:w="820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</w:rPr>
              <w:t xml:space="preserve">District-wise Progress</w:t>
            </w: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 ................................................................</w:t>
            </w:r>
          </w:p>
        </w:tc>
      </w:tr>
      <w:tr>
        <w:trPr>
          <w:trHeight w:val="390" w:hRule="atLeast"/>
          <w:cantSplit w:val="1"/>
        </w:trPr>
        <w:tc>
          <w:tcPr>
            <w:tcW w:w="62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  <w:b w:val="1"/>
                <w:bCs w:val="1"/>
              </w:rPr>
              <w:t xml:space="preserve">4.</w:t>
            </w:r>
          </w:p>
        </w:tc>
        <w:tc>
          <w:tcPr>
            <w:tcW w:w="820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</w:rPr>
              <w:t xml:space="preserve">Program Workstream Progress</w:t>
            </w: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 ................................................................</w:t>
            </w:r>
          </w:p>
        </w:tc>
      </w:tr>
      <w:tr>
        <w:trPr>
          <w:trHeight w:val="390" w:hRule="atLeast"/>
          <w:cantSplit w:val="1"/>
        </w:trPr>
        <w:tc>
          <w:tcPr>
            <w:tcW w:w="62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  <w:b w:val="1"/>
                <w:bCs w:val="1"/>
              </w:rPr>
              <w:t xml:space="preserve">5.</w:t>
            </w:r>
          </w:p>
        </w:tc>
        <w:tc>
          <w:tcPr>
            <w:tcW w:w="820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</w:rPr>
              <w:t xml:space="preserve">Field Highlights</w:t>
            </w: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 ................................................................</w:t>
            </w:r>
          </w:p>
        </w:tc>
      </w:tr>
      <w:tr>
        <w:trPr>
          <w:trHeight w:val="390" w:hRule="atLeast"/>
          <w:cantSplit w:val="1"/>
        </w:trPr>
        <w:tc>
          <w:tcPr>
            <w:tcW w:w="62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  <w:b w:val="1"/>
                <w:bCs w:val="1"/>
              </w:rPr>
              <w:t xml:space="preserve">6.</w:t>
            </w:r>
          </w:p>
        </w:tc>
        <w:tc>
          <w:tcPr>
            <w:tcW w:w="8200" w:type="dxa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color w:val="111111"/>
                <w:sz w:val="21"/>
                <w:szCs w:val="21"/>
              </w:rPr>
              <w:t xml:space="preserve">Report Basis and Data Notes</w:t>
            </w:r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 xml:space="preserve"> ................................................................</w:t>
            </w:r>
          </w:p>
        </w:tc>
      </w:tr>
    </w:tbl>
    <w:p>
      <w:pPr>
        <w:sectPr>
          <w:headerReference w:type="default" r:id="rId15"/>
          <w:footerReference w:type="default" r:id="rId16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1" w:name="_Toc1"/>
      <w:r>
        <w:t>1. Progress in Mukhyamantri Udyamshala Yojana (MUY)</w:t>
      </w:r>
      <w:bookmarkEnd w:id="1"/>
    </w:p>
    <w:p>
      <w:pPr>
        <w:jc w:val="both"/>
        <w:spacing w:after="180" w:line="276" w:lineRule="auto"/>
      </w:pPr>
      <w:r>
        <w:rPr>
          <w:color w:val="111111"/>
          <w:sz w:val="21"/>
          <w:szCs w:val="21"/>
        </w:rPr>
        <w:t xml:space="preserve">This Monthly Progress Report presents MIS-recorded progress for August 2026. Targets and achievements follow the approved MUY deliverables matrix for FY 2026-27.</w:t>
      </w:r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fixed"/>
        <w:tblCellMar>
          <w:top w:w="120" w:type="dxa"/>
          <w:left w:w="120" w:type="dxa"/>
          <w:right w:w="120" w:type="dxa"/>
          <w:bottom w:w="120" w:type="dxa"/>
        </w:tblCellMar>
      </w:tblPr>
      <w:tr>
        <w:trPr>
          <w:trHeight w:val="980" w:hRule="atLeast"/>
          <w:cantSplit w:val="1"/>
        </w:trPr>
        <w:tc>
          <w:tcPr>
            <w:tcW w:w="3000" w:type="dxa"/>
            <w:shd w:val="clear" w:fill="FFF6F0"/>
            <w:noWrap/>
          </w:tcPr>
          <w:p>
            <w:pPr>
              <w:jc w:val="center"/>
              <w:spacing w:after="40"/>
            </w:pPr>
            <w:r>
              <w:rPr>
                <w:color w:val="B53A00"/>
                <w:sz w:val="40"/>
                <w:szCs w:val="40"/>
                <w:b w:val="1"/>
                <w:bCs w:val="1"/>
              </w:rPr>
              <w:t xml:space="preserve">909</w:t>
            </w:r>
          </w:p>
          <w:p>
            <w:pPr>
              <w:jc w:val="center"/>
            </w:pPr>
            <w:r>
              <w:rPr>
                <w:color w:val="111111"/>
                <w:sz w:val="18"/>
                <w:szCs w:val="18"/>
                <w:b w:val="1"/>
                <w:bCs w:val="1"/>
              </w:rPr>
              <w:t xml:space="preserve">CFA applications</w:t>
            </w:r>
          </w:p>
        </w:tc>
        <w:tc>
          <w:tcPr>
            <w:tcW w:w="3000" w:type="dxa"/>
            <w:shd w:val="clear" w:fill="F0FDF4"/>
            <w:noWrap/>
          </w:tcPr>
          <w:p>
            <w:pPr>
              <w:jc w:val="center"/>
              <w:spacing w:after="40"/>
            </w:pPr>
            <w:r>
              <w:rPr>
                <w:color w:val="B53A00"/>
                <w:sz w:val="40"/>
                <w:szCs w:val="40"/>
                <w:b w:val="1"/>
                <w:bCs w:val="1"/>
              </w:rPr>
              <w:t xml:space="preserve">0</w:t>
            </w:r>
          </w:p>
          <w:p>
            <w:pPr>
              <w:jc w:val="center"/>
            </w:pPr>
            <w:r>
              <w:rPr>
                <w:color w:val="111111"/>
                <w:sz w:val="18"/>
                <w:szCs w:val="18"/>
                <w:b w:val="1"/>
                <w:bCs w:val="1"/>
              </w:rPr>
              <w:t xml:space="preserve">Incubatees onboarded</w:t>
            </w:r>
          </w:p>
        </w:tc>
        <w:tc>
          <w:tcPr>
            <w:tcW w:w="3000" w:type="dxa"/>
            <w:shd w:val="clear" w:fill="EFF6FF"/>
            <w:noWrap/>
          </w:tcPr>
          <w:p>
            <w:pPr>
              <w:jc w:val="center"/>
              <w:spacing w:after="40"/>
            </w:pPr>
            <w:r>
              <w:rPr>
                <w:color w:val="B53A00"/>
                <w:sz w:val="40"/>
                <w:szCs w:val="40"/>
                <w:b w:val="1"/>
                <w:bCs w:val="1"/>
              </w:rPr>
              <w:t xml:space="preserve">26</w:t>
            </w:r>
          </w:p>
          <w:p>
            <w:pPr>
              <w:jc w:val="center"/>
            </w:pPr>
            <w:r>
              <w:rPr>
                <w:color w:val="111111"/>
                <w:sz w:val="18"/>
                <w:szCs w:val="18"/>
                <w:b w:val="1"/>
                <w:bCs w:val="1"/>
              </w:rPr>
              <w:t xml:space="preserve">Indicators reporting progress</w:t>
            </w:r>
          </w:p>
        </w:tc>
      </w:tr>
    </w:tbl>
    <w:p>
      <w:pPr>
        <w:pStyle w:val="Heading2"/>
      </w:pPr>
      <w:bookmarkStart w:id="2" w:name="_Toc2"/>
      <w:r>
        <w:t>Key monthly highlights</w:t>
      </w:r>
      <w:bookmarkEnd w:id="2"/>
    </w:p>
    <w:p>
      <w:pPr>
        <w:spacing w:after="6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Call for Application: 909 achieved against a monthly target of 1,470.</w:t>
      </w:r>
    </w:p>
    <w:p>
      <w:pPr>
        <w:spacing w:after="6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Participants in Awareness cum Outreach activities: 574 achieved against a monthly target of 910.</w:t>
      </w:r>
    </w:p>
    <w:p>
      <w:pPr>
        <w:spacing w:after="6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Incubatees taken Part in Business Modules Training: 212 achieved against a monthly target of 700.</w:t>
      </w:r>
    </w:p>
    <w:p>
      <w:pPr>
        <w:spacing w:after="6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Business Model Canvas: 185 achieved against a monthly target of 600.</w:t>
      </w:r>
    </w:p>
    <w:p>
      <w:pPr>
        <w:spacing w:after="6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Business Registration: 74 achieved against a monthly target of 600.</w:t>
      </w:r>
    </w:p>
    <w:p>
      <w:pPr>
        <w:spacing w:after="6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Schematic Convergence: 48 achieved against a monthly target of 300.</w:t>
      </w:r>
    </w:p>
    <w:p>
      <w:pPr>
        <w:spacing w:after="6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Specialized Mentorship Support: 25 achieved against a monthly target of 65.</w:t>
      </w:r>
    </w:p>
    <w:p>
      <w:pPr>
        <w:spacing w:after="6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No. of Awareness cum Outreach activities for SHG members/Potential Lakhpati Didis/ SHGs/CBOs etc.: 24 achieved against a monthly target of 122.</w:t>
      </w:r>
    </w:p>
    <w:p>
      <w:pPr>
        <w:sectPr>
          <w:headerReference w:type="default" r:id="rId17"/>
          <w:footerReference w:type="default" r:id="rId18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3" w:name="_Toc3"/>
      <w:r>
        <w:t>2. Quantitative Progress - Plan vs Achievements</w:t>
      </w:r>
      <w:bookmarkEnd w:id="3"/>
    </w:p>
    <w:p>
      <w:pPr>
        <w:spacing w:after="120"/>
      </w:pPr>
      <w:r>
        <w:rPr>
          <w:rFonts w:ascii="Times New Roman" w:hAnsi="Times New Roman" w:eastAsia="Times New Roman" w:cs="Times New Roman"/>
          <w:color w:val="111111"/>
          <w:sz w:val="21"/>
          <w:szCs w:val="21"/>
        </w:rPr>
        <w:t xml:space="preserve">The table below presents the approved monthly target and MIS-recorded achievement for August 2026.</w:t>
      </w:r>
    </w:p>
    <w:tbl>
      <w:tblGrid>
        <w:gridCol w:w="700" w:type="dxa"/>
        <w:gridCol w:w="3650" w:type="dxa"/>
        <w:gridCol w:w="1550" w:type="dxa"/>
        <w:gridCol w:w="1150" w:type="dxa"/>
        <w:gridCol w:w="1350" w:type="dxa"/>
        <w:gridCol w:w="1450" w:type="dxa"/>
      </w:tblGrid>
      <w:tblPr>
        <w:tblStyle w:val="MprTable"/>
      </w:tblPr>
      <w:tr>
        <w:trPr>
          <w:trHeight w:val="620" w:hRule="atLeast"/>
          <w:tblHeader w:val="1"/>
          <w:cantSplit w:val="1"/>
        </w:trPr>
        <w:tc>
          <w:tcPr>
            <w:tcW w:w="700" w:type="dxa"/>
            <w:vAlign w:val="center"/>
            <w:shd w:val="clear" w:fill="FF5A0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3650" w:type="dxa"/>
            <w:vAlign w:val="center"/>
            <w:shd w:val="clear" w:fill="FF5A0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550" w:type="dxa"/>
            <w:vAlign w:val="center"/>
            <w:shd w:val="clear" w:fill="FF5A0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  <w:b w:val="1"/>
                <w:bCs w:val="1"/>
              </w:rPr>
              <w:t xml:space="preserve">Type of Indicator</w:t>
            </w:r>
          </w:p>
        </w:tc>
        <w:tc>
          <w:tcPr>
            <w:tcW w:w="1150" w:type="dxa"/>
            <w:vAlign w:val="center"/>
            <w:shd w:val="clear" w:fill="FF5A0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  <w:b w:val="1"/>
                <w:bCs w:val="1"/>
              </w:rPr>
              <w:t xml:space="preserve">Target</w:t>
            </w:r>
          </w:p>
        </w:tc>
        <w:tc>
          <w:tcPr>
            <w:tcW w:w="1350" w:type="dxa"/>
            <w:vAlign w:val="center"/>
            <w:shd w:val="clear" w:fill="FF5A0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  <w:tc>
          <w:tcPr>
            <w:tcW w:w="1450" w:type="dxa"/>
            <w:vAlign w:val="center"/>
            <w:shd w:val="clear" w:fill="FF5A0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  <w:b w:val="1"/>
                <w:bCs w:val="1"/>
              </w:rPr>
              <w:t xml:space="preserve">Achievement (%)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Outreach and Mobilisation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Call for Application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1,470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909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62%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District Level Workshops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3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1.3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No. of Awareness cum Outreach activities for SHG members/Potential Lakhpati Didis/ SHGs/CBOs etc.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122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24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20%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1.3.1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Participants in Awareness cum Outreach activities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910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574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63%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1.4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EAP/EDP Sessions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13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12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92%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1.5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Outreach through Community Organizations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Identification and Onboarding of Enterprises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2.1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Incubatees Onboarded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700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2.1.1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Onboarding of Potential Lakhpati Didi/ SHG Members/ CBOs*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300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3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Training &amp; Capacity Building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Business Skills Training Sessions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39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7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18%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Incubatees taken Part in Business Modules Training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700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212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3.3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Technical Trainings to Incubatees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3.3.1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Technical Trainings to Potential Lakhpati Didis/ SHG Members/ CBOs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(Need Based)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3.4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Capacity Building of stakeholders (REAP, USRLM, Other Line department staff)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Business Formalization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4.1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Business Registration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4.1.1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Business Registration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600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74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12%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4.2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Legal &amp; Licensing Support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Artisan Card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26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8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31%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FSSAI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75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14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19%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4.2.3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UTDB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20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5%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4.2.4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GST Registration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35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11%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4.2.5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Trademark application filling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4.2.6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GI Seller Registration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4.2.7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Advance Licensing Support (Mandi Licensing, Lab Test etc.)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(Need Based)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5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Mentorship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5.1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Specialized Mentorship Support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65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25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38%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5.2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Mentorship Support through online portal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6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Partnership &amp; Forward Linkages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 of Partners outreach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11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110%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Marketing Partners Onboarded through (LoA/LoI/MoU)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6.3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Incubatees linked to online/offline Market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150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15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7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Business Acceleration Services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7.1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 of Partners outreach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2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7.2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Initiation of acceleration and co-incubation services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150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15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8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Funding &amp; Schematic Convergence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8.1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Schematic Convergence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300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48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16%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8.2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Support to MUY Incubatee through Reap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50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8%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8.3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Incubatees Pitch Deck Preparation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20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8.4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Demo Days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8.5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 of Partners outreach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5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9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Other Support Services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9.1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Business Model Canvas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600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185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31%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9.2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Other Support Services - Labelling, Packaging, Logo Designing etc.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10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Branding, Communication &amp; Knowledge Management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Social Media Post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3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Preparation of Case Studies and Testimonials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10.3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MUY Newsletter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10.4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IEC &amp; Promotional Activities for MUY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0%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10.5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Buyer-Seller Meet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10.6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Events/ Seminars/ Workshops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11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Product Development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11.1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Identification and Submission of Proposal for New Product Development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12</w:t>
            </w:r>
          </w:p>
        </w:tc>
        <w:tc>
          <w:tcPr>
            <w:tcW w:w="3650" w:type="dxa"/>
            <w:vAlign w:val="center"/>
            <w:shd w:val="clear" w:fill="FCE4D6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Synergies Across Line Departments</w:t>
            </w:r>
          </w:p>
        </w:tc>
        <w:tc>
          <w:tcPr>
            <w:tcW w:w="15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1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3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  <w:tc>
          <w:tcPr>
            <w:tcW w:w="1450" w:type="dxa"/>
            <w:vAlign w:val="center"/>
            <w:shd w:val="clear" w:fill="FCE4D6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/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12.1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Stakeholder Consultation Workshop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Key Indicator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0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0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—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12.2</w:t>
            </w:r>
          </w:p>
        </w:tc>
        <w:tc>
          <w:tcPr>
            <w:tcW w:w="3650" w:type="dxa"/>
            <w:vAlign w:val="center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Meeting of staff with Line Department at Spoke/Hub/State Level</w:t>
            </w:r>
          </w:p>
        </w:tc>
        <w:tc>
          <w:tcPr>
            <w:tcW w:w="15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Non-Key</w:t>
            </w:r>
          </w:p>
        </w:tc>
        <w:tc>
          <w:tcPr>
            <w:tcW w:w="11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5</w:t>
            </w:r>
          </w:p>
        </w:tc>
        <w:tc>
          <w:tcPr>
            <w:tcW w:w="13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  <w:tc>
          <w:tcPr>
            <w:tcW w:w="1450" w:type="dxa"/>
            <w:vAlign w:val="center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20%</w:t>
            </w:r>
          </w:p>
        </w:tc>
      </w:tr>
    </w:tbl>
    <w:p>
      <w:pPr>
        <w:jc w:val="both"/>
        <w:spacing w:before="120" w:after="0"/>
      </w:pPr>
      <w:r>
        <w:rPr>
          <w:rFonts w:ascii="Times New Roman" w:hAnsi="Times New Roman" w:eastAsia="Times New Roman" w:cs="Times New Roman"/>
          <w:color w:val="111111"/>
          <w:sz w:val="19"/>
          <w:szCs w:val="19"/>
        </w:rPr>
        <w:t xml:space="preserve">The above-mentioned progress is based on the IT/MIS system developed under the Mukhyamantri Udyamshala Yojana and the applicable maker-checker approval workflow.</w:t>
      </w:r>
    </w:p>
    <w:p>
      <w:pPr>
        <w:sectPr>
          <w:headerReference w:type="default" r:id="rId19"/>
          <w:footerReference w:type="default" r:id="rId20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4" w:name="_Toc4"/>
      <w:r>
        <w:t>3. District-wise Progress</w:t>
      </w:r>
      <w:bookmarkEnd w:id="4"/>
    </w:p>
    <w:p>
      <w:pPr>
        <w:spacing w:after="120"/>
      </w:pPr>
      <w:r>
        <w:rPr>
          <w:color w:val="64748B"/>
        </w:rPr>
        <w:t xml:space="preserve">District-wise CFA and onboarding achievements recorded during the selected month.</w:t>
      </w:r>
    </w:p>
    <w:tbl>
      <w:tblGrid>
        <w:gridCol w:w="900" w:type="dxa"/>
        <w:gridCol w:w="4300" w:type="dxa"/>
        <w:gridCol w:w="2100" w:type="dxa"/>
        <w:gridCol w:w="2100" w:type="dxa"/>
      </w:tblGrid>
      <w:tblPr>
        <w:tblStyle w:val="MprTable"/>
      </w:tblPr>
      <w:tr>
        <w:trPr>
          <w:trHeight w:val="520" w:hRule="atLeast"/>
          <w:tblHeader w:val="1"/>
          <w:cantSplit w:val="1"/>
        </w:trPr>
        <w:tc>
          <w:tcPr>
            <w:tcW w:w="900" w:type="dxa"/>
            <w:shd w:val="clear" w:fill="D04A02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  <w:b w:val="1"/>
                <w:bCs w:val="1"/>
              </w:rPr>
              <w:t xml:space="preserve">S.N.</w:t>
            </w:r>
          </w:p>
        </w:tc>
        <w:tc>
          <w:tcPr>
            <w:tcW w:w="4300" w:type="dxa"/>
            <w:shd w:val="clear" w:fill="D04A02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  <w:b w:val="1"/>
                <w:bCs w:val="1"/>
              </w:rPr>
              <w:t xml:space="preserve">District</w:t>
            </w:r>
          </w:p>
        </w:tc>
        <w:tc>
          <w:tcPr>
            <w:tcW w:w="2100" w:type="dxa"/>
            <w:shd w:val="clear" w:fill="D04A02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  <w:b w:val="1"/>
                <w:bCs w:val="1"/>
              </w:rPr>
              <w:t xml:space="preserve">CFA applications</w:t>
            </w:r>
          </w:p>
        </w:tc>
        <w:tc>
          <w:tcPr>
            <w:tcW w:w="2100" w:type="dxa"/>
            <w:shd w:val="clear" w:fill="D04A02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  <w:b w:val="1"/>
                <w:bCs w:val="1"/>
              </w:rPr>
              <w:t xml:space="preserve">Incubatees onboarded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Almora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42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2</w:t>
            </w:r>
          </w:p>
        </w:tc>
        <w:tc>
          <w:tcPr>
            <w:tcW w:w="43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Bageshwar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2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3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Chamoli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114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4</w:t>
            </w:r>
          </w:p>
        </w:tc>
        <w:tc>
          <w:tcPr>
            <w:tcW w:w="43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Champawat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61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5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Dehradun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97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6</w:t>
            </w:r>
          </w:p>
        </w:tc>
        <w:tc>
          <w:tcPr>
            <w:tcW w:w="43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Haridwar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106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7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Nainital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158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8</w:t>
            </w:r>
          </w:p>
        </w:tc>
        <w:tc>
          <w:tcPr>
            <w:tcW w:w="43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Pauri Garhwal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114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9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Pithoragarh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101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10</w:t>
            </w:r>
          </w:p>
        </w:tc>
        <w:tc>
          <w:tcPr>
            <w:tcW w:w="43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Rudraprayag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20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11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Tehri Garhwal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20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12</w:t>
            </w:r>
          </w:p>
        </w:tc>
        <w:tc>
          <w:tcPr>
            <w:tcW w:w="43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Udham Singh Nagar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4</w:t>
            </w:r>
          </w:p>
        </w:tc>
        <w:tc>
          <w:tcPr>
            <w:tcW w:w="21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  <w:tr>
        <w:trPr>
          <w:trHeight w:val="420" w:hRule="atLeast"/>
          <w:cantSplit w:val="1"/>
        </w:trPr>
        <w:tc>
          <w:tcPr>
            <w:tcW w:w="9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13</w:t>
            </w:r>
          </w:p>
        </w:tc>
        <w:tc>
          <w:tcPr>
            <w:tcW w:w="4300" w:type="dxa"/>
            <w:shd w:val="clear" w:fill="FFFFFF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1"/>
                <w:bCs w:val="1"/>
              </w:rPr>
              <w:t xml:space="preserve">Uttarkashi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70</w:t>
            </w:r>
          </w:p>
        </w:tc>
        <w:tc>
          <w:tcPr>
            <w:tcW w:w="2100" w:type="dxa"/>
            <w:shd w:val="clear" w:fill="FFFFFF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  <w:b w:val="0"/>
                <w:bCs w:val="0"/>
              </w:rPr>
              <w:t xml:space="preserve">0</w:t>
            </w:r>
          </w:p>
        </w:tc>
      </w:tr>
    </w:tbl>
    <w:p>
      <w:pPr>
        <w:sectPr>
          <w:headerReference w:type="default" r:id="rId21"/>
          <w:footerReference w:type="default" r:id="rId22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5" w:name="_Toc5"/>
      <w:r>
        <w:t>4. Program Workstream Progress</w:t>
      </w:r>
      <w:bookmarkEnd w:id="5"/>
    </w:p>
    <w:p>
      <w:pPr>
        <w:pStyle w:val="Heading2"/>
      </w:pPr>
      <w:bookmarkStart w:id="6" w:name="_Toc6"/>
      <w:r>
        <w:t>Outreach and Mobilisation</w:t>
      </w:r>
      <w:bookmarkEnd w:id="6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Call for Application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909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1.2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District Level Workshops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1.3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No. of Awareness cum Outreach activities for SHG members/Potential Lakhpati Didis/ SHGs/CBOs etc.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24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1.3.1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Participants in Awareness cum Outreach activities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574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1.4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EAP/EDP Sessions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12</w:t>
            </w:r>
          </w:p>
        </w:tc>
      </w:tr>
    </w:tbl>
    <w:p>
      <w:pPr>
        <w:pStyle w:val="Heading2"/>
      </w:pPr>
      <w:bookmarkStart w:id="7" w:name="_Toc7"/>
      <w:r>
        <w:t>Identification and Onboarding of Enterprises</w:t>
      </w:r>
      <w:bookmarkEnd w:id="7"/>
    </w:p>
    <w:p>
      <w:pPr>
        <w:spacing w:after="80"/>
      </w:pPr>
      <w:r>
        <w:rPr>
          <w:color w:val="64748B"/>
          <w:i w:val="1"/>
          <w:iCs w:val="1"/>
        </w:rPr>
        <w:t xml:space="preserve">No approved achievement was recorded for this workstream during August 2026.</w:t>
      </w:r>
    </w:p>
    <w:p>
      <w:pPr>
        <w:pStyle w:val="Heading2"/>
      </w:pPr>
      <w:bookmarkStart w:id="8" w:name="_Toc8"/>
      <w:r>
        <w:t>Training &amp; Capacity Building</w:t>
      </w:r>
      <w:bookmarkEnd w:id="8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Business Skills Training Sessions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7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3.2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Incubatees taken Part in Business Modules Training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212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3.3.1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Technical Trainings to Potential Lakhpati Didis/ SHG Members/ CBOs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</w:tr>
    </w:tbl>
    <w:p>
      <w:pPr>
        <w:pStyle w:val="Heading2"/>
      </w:pPr>
      <w:bookmarkStart w:id="9" w:name="_Toc9"/>
      <w:r>
        <w:t>Business Formalization</w:t>
      </w:r>
      <w:bookmarkEnd w:id="9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4.1.1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Business Registration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74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Artisan Card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4.2.2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FSSAI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14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4.2.3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UTDB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4.2.4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GST Registration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4.2.5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Trademark application filling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4.2.7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Advance Licensing Support (Mandi Licensing, Lab Test etc.)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</w:tr>
    </w:tbl>
    <w:p>
      <w:pPr>
        <w:pStyle w:val="Heading2"/>
      </w:pPr>
      <w:bookmarkStart w:id="10" w:name="_Toc10"/>
      <w:r>
        <w:t>Mentorship</w:t>
      </w:r>
      <w:bookmarkEnd w:id="10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5.1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Specialized Mentorship Support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25</w:t>
            </w:r>
          </w:p>
        </w:tc>
      </w:tr>
    </w:tbl>
    <w:p>
      <w:pPr>
        <w:pStyle w:val="Heading2"/>
      </w:pPr>
      <w:bookmarkStart w:id="11" w:name="_Toc11"/>
      <w:r>
        <w:t>Partnership &amp; Forward Linkages</w:t>
      </w:r>
      <w:bookmarkEnd w:id="11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No of Partners outreach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11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6.3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Incubatees linked to online/offline Market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15</w:t>
            </w:r>
          </w:p>
        </w:tc>
      </w:tr>
    </w:tbl>
    <w:p>
      <w:pPr>
        <w:pStyle w:val="Heading2"/>
      </w:pPr>
      <w:bookmarkStart w:id="12" w:name="_Toc12"/>
      <w:r>
        <w:t>Business Acceleration Services</w:t>
      </w:r>
      <w:bookmarkEnd w:id="12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7.2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Initiation of acceleration and co-incubation services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15</w:t>
            </w:r>
          </w:p>
        </w:tc>
      </w:tr>
    </w:tbl>
    <w:p>
      <w:pPr>
        <w:pStyle w:val="Heading2"/>
      </w:pPr>
      <w:bookmarkStart w:id="13" w:name="_Toc13"/>
      <w:r>
        <w:t>Funding &amp; Schematic Convergence</w:t>
      </w:r>
      <w:bookmarkEnd w:id="13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8.1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Schematic Convergence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48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8.2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Support to MUY Incubatee through Reap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4</w:t>
            </w:r>
          </w:p>
        </w:tc>
      </w:tr>
    </w:tbl>
    <w:p>
      <w:pPr>
        <w:pStyle w:val="Heading2"/>
      </w:pPr>
      <w:bookmarkStart w:id="14" w:name="_Toc14"/>
      <w:r>
        <w:t>Other Support Services</w:t>
      </w:r>
      <w:bookmarkEnd w:id="14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9.1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Business Model Canvas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185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9.2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Other Support Services - Labelling, Packaging, Logo Designing etc.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2</w:t>
            </w:r>
          </w:p>
        </w:tc>
      </w:tr>
    </w:tbl>
    <w:p>
      <w:pPr>
        <w:pStyle w:val="Heading2"/>
      </w:pPr>
      <w:bookmarkStart w:id="15" w:name="_Toc15"/>
      <w:r>
        <w:t>Branding, Communication &amp; Knowledge Management</w:t>
      </w:r>
      <w:bookmarkEnd w:id="15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10.1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Social Media Post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10.2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Preparation of Case Studies and Testimonials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</w:tr>
    </w:tbl>
    <w:p>
      <w:pPr>
        <w:pStyle w:val="Heading2"/>
      </w:pPr>
      <w:bookmarkStart w:id="16" w:name="_Toc16"/>
      <w:r>
        <w:t>Product Development</w:t>
      </w:r>
      <w:bookmarkEnd w:id="16"/>
    </w:p>
    <w:p>
      <w:pPr>
        <w:spacing w:after="80"/>
      </w:pPr>
      <w:r>
        <w:rPr>
          <w:color w:val="64748B"/>
          <w:i w:val="1"/>
          <w:iCs w:val="1"/>
        </w:rPr>
        <w:t xml:space="preserve">No approved achievement was recorded for this workstream during August 2026.</w:t>
      </w:r>
    </w:p>
    <w:p>
      <w:pPr>
        <w:pStyle w:val="Heading2"/>
      </w:pPr>
      <w:bookmarkStart w:id="17" w:name="_Toc17"/>
      <w:r>
        <w:t>Synergies Across Line Departments</w:t>
      </w:r>
      <w:bookmarkEnd w:id="17"/>
    </w:p>
    <w:tbl>
      <w:tblGrid>
        <w:gridCol w:w="800" w:type="dxa"/>
        <w:gridCol w:w="7000" w:type="dxa"/>
        <w:gridCol w:w="1600" w:type="dxa"/>
      </w:tblGrid>
      <w:tblPr>
        <w:tblW w:w="5000" w:type="pct"/>
        <w:tblLayout w:type="fixed"/>
        <w:tblCellMar>
          <w:top w:w="45" w:type="dxa"/>
          <w:left w:w="70" w:type="dxa"/>
          <w:right w:w="70" w:type="dxa"/>
          <w:bottom w:w="45" w:type="dxa"/>
        </w:tblCellMar>
        <w:tblBorders>
          <w:top w:val="single" w:sz="4" w:color="F09A78"/>
          <w:left w:val="single" w:sz="4" w:color="F09A78"/>
          <w:right w:val="single" w:sz="4" w:color="F09A78"/>
          <w:bottom w:val="single" w:sz="4" w:color="F09A78"/>
          <w:insideH w:val="single" w:sz="4" w:color="F09A78"/>
          <w:insideV w:val="single" w:sz="4" w:color="F09A78"/>
        </w:tblBorders>
      </w:tblPr>
      <w:tr>
        <w:trPr>
          <w:trHeight w:val="360" w:hRule="atLeast"/>
          <w:tblHeader w:val="1"/>
          <w:cantSplit w:val="1"/>
        </w:trPr>
        <w:tc>
          <w:tcPr>
            <w:tcW w:w="8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S.No.</w:t>
            </w:r>
          </w:p>
        </w:tc>
        <w:tc>
          <w:tcPr>
            <w:tcW w:w="7000" w:type="dxa"/>
            <w:shd w:val="clear" w:fill="FFF6F0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Indicator</w:t>
            </w:r>
          </w:p>
        </w:tc>
        <w:tc>
          <w:tcPr>
            <w:tcW w:w="1600" w:type="dxa"/>
            <w:shd w:val="clear" w:fill="FFF6F0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Achievement</w:t>
            </w:r>
          </w:p>
        </w:tc>
      </w:tr>
      <w:tr>
        <w:trPr>
          <w:cantSplit w:val="1"/>
        </w:trPr>
        <w:tc>
          <w:tcPr>
            <w:tcW w:w="8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12.2</w:t>
            </w:r>
          </w:p>
        </w:tc>
        <w:tc>
          <w:tcPr>
            <w:tcW w:w="7000" w:type="dxa"/>
            <w:noWrap/>
          </w:tcPr>
          <w:p>
            <w:pPr>
              <w:jc w:val="left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0"/>
                <w:bCs w:val="0"/>
              </w:rPr>
              <w:t xml:space="preserve">Meeting of staff with Line Department at Spoke/Hub/State Level</w:t>
            </w:r>
          </w:p>
        </w:tc>
        <w:tc>
          <w:tcPr>
            <w:tcW w:w="1600" w:type="dxa"/>
            <w:noWrap/>
          </w:tcPr>
          <w:p>
            <w:pPr>
              <w:jc w:val="center"/>
              <w:spacing w:before="0" w:after="0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1</w:t>
            </w:r>
          </w:p>
        </w:tc>
      </w:tr>
    </w:tbl>
    <w:p>
      <w:pPr>
        <w:sectPr>
          <w:headerReference w:type="default" r:id="rId23"/>
          <w:footerReference w:type="default" r:id="rId24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18" w:name="_Toc18"/>
      <w:r>
        <w:t>5. Field Highlights</w:t>
      </w:r>
      <w:bookmarkEnd w:id="18"/>
    </w:p>
    <w:p>
      <w:pPr>
        <w:spacing w:after="140"/>
      </w:pPr>
      <w:r>
        <w:rPr>
          <w:rFonts w:ascii="Times New Roman" w:hAnsi="Times New Roman" w:eastAsia="Times New Roman" w:cs="Times New Roman"/>
          <w:color w:val="111111"/>
          <w:sz w:val="21"/>
          <w:szCs w:val="21"/>
        </w:rPr>
        <w:t xml:space="preserve">Approved field photographs available in the MIS Media Gallery for the reporting month.</w:t>
      </w:r>
    </w:p>
    <w:tbl>
      <w:tblGrid>
        <w:gridCol w:w="4700" w:type="dxa"/>
        <w:gridCol w:w="4700" w:type="dxa"/>
      </w:tblGrid>
      <w:tblPr>
        <w:tblW w:w="5000" w:type="pct"/>
        <w:tblLayout w:type="fixed"/>
        <w:tblCellMar>
          <w:top w:w="55" w:type="dxa"/>
          <w:left w:w="70" w:type="dxa"/>
          <w:right w:w="70" w:type="dxa"/>
          <w:bottom w:w="55" w:type="dxa"/>
        </w:tblCellMar>
        <w:tblBorders>
          <w:top w:val="single" w:sz="1" w:color="FFFFFF"/>
          <w:left w:val="single" w:sz="1" w:color="FFFFFF"/>
          <w:right w:val="single" w:sz="1" w:color="FFFFFF"/>
          <w:bottom w:val="single" w:sz="1" w:color="FFFFFF"/>
          <w:insideH w:val="single" w:sz="1" w:color="FFFFFF"/>
          <w:insideV w:val="single" w:sz="1" w:color="FFFFFF"/>
        </w:tblBorders>
      </w:tblPr>
      <w:tr>
        <w:trPr>
          <w:cantSplit w:val="1"/>
        </w:trPr>
        <w:tc>
          <w:tcPr>
            <w:tcW w:w="4700" w:type="dxa"/>
            <w:vAlign w:val="top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200pt; height:15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  <w:spacing w:before="45" w:after="16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Block Workshops - Dasholi</w:t>
            </w:r>
          </w:p>
          <w:p>
            <w:pPr>
              <w:jc w:val="center"/>
              <w:spacing w:after="55"/>
            </w:pPr>
            <w:r>
              <w:rPr>
                <w:rFonts w:ascii="Arial" w:hAnsi="Arial" w:eastAsia="Arial" w:cs="Arial"/>
                <w:color w:val="64748B"/>
                <w:sz w:val="15"/>
                <w:szCs w:val="15"/>
              </w:rPr>
              <w:t xml:space="preserve">Chamoli | 16 Aug 2026</w:t>
            </w:r>
          </w:p>
        </w:tc>
        <w:tc>
          <w:tcPr>
            <w:tcW w:w="4700" w:type="dxa"/>
            <w:vAlign w:val="top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200pt; height:150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  <w:p>
            <w:pPr>
              <w:jc w:val="center"/>
              <w:spacing w:before="45" w:after="16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Block Workshops - Narayanbagar</w:t>
            </w:r>
          </w:p>
          <w:p>
            <w:pPr>
              <w:jc w:val="center"/>
              <w:spacing w:after="55"/>
            </w:pPr>
            <w:r>
              <w:rPr>
                <w:rFonts w:ascii="Arial" w:hAnsi="Arial" w:eastAsia="Arial" w:cs="Arial"/>
                <w:color w:val="64748B"/>
                <w:sz w:val="15"/>
                <w:szCs w:val="15"/>
              </w:rPr>
              <w:t xml:space="preserve">Chamoli | 13 Aug 2026</w:t>
            </w:r>
          </w:p>
        </w:tc>
      </w:tr>
      <w:tr>
        <w:trPr>
          <w:cantSplit w:val="1"/>
        </w:trPr>
        <w:tc>
          <w:tcPr>
            <w:tcW w:w="4700" w:type="dxa"/>
            <w:vAlign w:val="top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200pt; height:150pt; margin-left:0pt; margin-top:0pt; mso-position-horizontal:left; mso-position-vertical:top; mso-position-horizontal-relative:char; mso-position-vertical-relative:line;">
                  <w10:wrap type="inline"/>
                  <v:imagedata r:id="rId9" o:title=""/>
                </v:shape>
              </w:pict>
            </w:r>
          </w:p>
          <w:p>
            <w:pPr>
              <w:jc w:val="center"/>
              <w:spacing w:before="45" w:after="16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District Workshops - District workshop</w:t>
            </w:r>
          </w:p>
          <w:p>
            <w:pPr>
              <w:jc w:val="center"/>
              <w:spacing w:after="55"/>
            </w:pPr>
            <w:r>
              <w:rPr>
                <w:rFonts w:ascii="Arial" w:hAnsi="Arial" w:eastAsia="Arial" w:cs="Arial"/>
                <w:color w:val="64748B"/>
                <w:sz w:val="15"/>
                <w:szCs w:val="15"/>
              </w:rPr>
              <w:t xml:space="preserve">Rudraprayag | 05 Aug 2026</w:t>
            </w:r>
          </w:p>
        </w:tc>
        <w:tc>
          <w:tcPr>
            <w:tcW w:w="4700" w:type="dxa"/>
            <w:vAlign w:val="top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230pt; height:104pt; margin-left:0pt; margin-top:0pt; mso-position-horizontal:left; mso-position-vertical:top; mso-position-horizontal-relative:char; mso-position-vertical-relative:line;">
                  <w10:wrap type="inline"/>
                  <v:imagedata r:id="rId10" o:title=""/>
                </v:shape>
              </w:pict>
            </w:r>
          </w:p>
          <w:p>
            <w:pPr>
              <w:jc w:val="center"/>
              <w:spacing w:before="45" w:after="16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District Workshops - District workshop</w:t>
            </w:r>
          </w:p>
          <w:p>
            <w:pPr>
              <w:jc w:val="center"/>
              <w:spacing w:after="55"/>
            </w:pPr>
            <w:r>
              <w:rPr>
                <w:rFonts w:ascii="Arial" w:hAnsi="Arial" w:eastAsia="Arial" w:cs="Arial"/>
                <w:color w:val="64748B"/>
                <w:sz w:val="15"/>
                <w:szCs w:val="15"/>
              </w:rPr>
              <w:t xml:space="preserve">Pauri Garhwal | 05 Aug 2026</w:t>
            </w:r>
          </w:p>
        </w:tc>
      </w:tr>
    </w:tbl>
    <w:p>
      <w:pPr>
        <w:sectPr>
          <w:headerReference w:type="default" r:id="rId25"/>
          <w:footerReference w:type="default" r:id="rId26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tbl>
      <w:tblGrid>
        <w:gridCol w:w="4700" w:type="dxa"/>
        <w:gridCol w:w="4700" w:type="dxa"/>
      </w:tblGrid>
      <w:tblPr>
        <w:tblW w:w="5000" w:type="pct"/>
        <w:tblLayout w:type="fixed"/>
        <w:tblCellMar>
          <w:top w:w="55" w:type="dxa"/>
          <w:left w:w="70" w:type="dxa"/>
          <w:right w:w="70" w:type="dxa"/>
          <w:bottom w:w="55" w:type="dxa"/>
        </w:tblCellMar>
        <w:tblBorders>
          <w:top w:val="single" w:sz="1" w:color="FFFFFF"/>
          <w:left w:val="single" w:sz="1" w:color="FFFFFF"/>
          <w:right w:val="single" w:sz="1" w:color="FFFFFF"/>
          <w:bottom w:val="single" w:sz="1" w:color="FFFFFF"/>
          <w:insideH w:val="single" w:sz="1" w:color="FFFFFF"/>
          <w:insideV w:val="single" w:sz="1" w:color="FFFFFF"/>
        </w:tblBorders>
      </w:tblPr>
      <w:tr>
        <w:trPr>
          <w:cantSplit w:val="1"/>
        </w:trPr>
        <w:tc>
          <w:tcPr>
            <w:tcW w:w="4700" w:type="dxa"/>
            <w:vAlign w:val="top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200pt; height:150pt; margin-left:0pt; margin-top:0pt; mso-position-horizontal:left; mso-position-vertical:top; mso-position-horizontal-relative:char; mso-position-vertical-relative:line;">
                  <w10:wrap type="inline"/>
                  <v:imagedata r:id="rId11" o:title=""/>
                </v:shape>
              </w:pict>
            </w:r>
          </w:p>
          <w:p>
            <w:pPr>
              <w:jc w:val="center"/>
              <w:spacing w:before="45" w:after="16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EAP / EDP Sessions - EAP/EDP session</w:t>
            </w:r>
          </w:p>
          <w:p>
            <w:pPr>
              <w:jc w:val="center"/>
              <w:spacing w:after="55"/>
            </w:pPr>
            <w:r>
              <w:rPr>
                <w:rFonts w:ascii="Arial" w:hAnsi="Arial" w:eastAsia="Arial" w:cs="Arial"/>
                <w:color w:val="64748B"/>
                <w:sz w:val="15"/>
                <w:szCs w:val="15"/>
              </w:rPr>
              <w:t xml:space="preserve">Pauri Garhwal | 17 Aug 2026</w:t>
            </w:r>
          </w:p>
        </w:tc>
        <w:tc>
          <w:tcPr>
            <w:tcW w:w="4700" w:type="dxa"/>
            <w:vAlign w:val="top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200pt; height:150pt; margin-left:0pt; margin-top:0pt; mso-position-horizontal:left; mso-position-vertical:top; mso-position-horizontal-relative:char; mso-position-vertical-relative:line;">
                  <w10:wrap type="inline"/>
                  <v:imagedata r:id="rId12" o:title=""/>
                </v:shape>
              </w:pict>
            </w:r>
          </w:p>
          <w:p>
            <w:pPr>
              <w:jc w:val="center"/>
              <w:spacing w:before="45" w:after="16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EAP / EDP Sessions - EAP/EDP session</w:t>
            </w:r>
          </w:p>
          <w:p>
            <w:pPr>
              <w:jc w:val="center"/>
              <w:spacing w:after="55"/>
            </w:pPr>
            <w:r>
              <w:rPr>
                <w:rFonts w:ascii="Arial" w:hAnsi="Arial" w:eastAsia="Arial" w:cs="Arial"/>
                <w:color w:val="64748B"/>
                <w:sz w:val="15"/>
                <w:szCs w:val="15"/>
              </w:rPr>
              <w:t xml:space="preserve">Tehri Garhwal | 14 Aug 2026</w:t>
            </w:r>
          </w:p>
        </w:tc>
      </w:tr>
      <w:tr>
        <w:trPr>
          <w:cantSplit w:val="1"/>
        </w:trPr>
        <w:tc>
          <w:tcPr>
            <w:tcW w:w="4700" w:type="dxa"/>
            <w:vAlign w:val="top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230pt; height:109pt; margin-left:0pt; margin-top:0pt; mso-position-horizontal:left; mso-position-vertical:top; mso-position-horizontal-relative:char; mso-position-vertical-relative:line;">
                  <w10:wrap type="inline"/>
                  <v:imagedata r:id="rId13" o:title=""/>
                </v:shape>
              </w:pict>
            </w:r>
          </w:p>
          <w:p>
            <w:pPr>
              <w:jc w:val="center"/>
              <w:spacing w:before="45" w:after="16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Lakhpati Technical Trainings - Importance of Social Media Management in collaboration with Upliftlive Foundation</w:t>
            </w:r>
          </w:p>
          <w:p>
            <w:pPr>
              <w:jc w:val="center"/>
              <w:spacing w:after="55"/>
            </w:pPr>
            <w:r>
              <w:rPr>
                <w:rFonts w:ascii="Arial" w:hAnsi="Arial" w:eastAsia="Arial" w:cs="Arial"/>
                <w:color w:val="64748B"/>
                <w:sz w:val="15"/>
                <w:szCs w:val="15"/>
              </w:rPr>
              <w:t xml:space="preserve">Pauri Garhwal | 07 Aug 2026</w:t>
            </w:r>
          </w:p>
        </w:tc>
        <w:tc>
          <w:tcPr>
            <w:tcW w:w="4700" w:type="dxa"/>
            <w:vAlign w:val="top"/>
            <w:tcBorders>
              <w:top w:val="single" w:sz="1" w:color="FFFFFF"/>
              <w:left w:val="single" w:sz="1" w:color="FFFFFF"/>
              <w:right w:val="single" w:sz="1" w:color="FFFFFF"/>
              <w:bottom w:val="single" w:sz="1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200pt; height:150pt; margin-left:0pt; margin-top:0pt; mso-position-horizontal:left; mso-position-vertical:top; mso-position-horizontal-relative:char; mso-position-vertical-relative:line;">
                  <w10:wrap type="inline"/>
                  <v:imagedata r:id="rId14" o:title=""/>
                </v:shape>
              </w:pict>
            </w:r>
          </w:p>
          <w:p>
            <w:pPr>
              <w:jc w:val="center"/>
              <w:spacing w:before="45" w:after="16"/>
            </w:pPr>
            <w:r>
              <w:rPr>
                <w:rFonts w:ascii="Arial" w:hAnsi="Arial" w:eastAsia="Arial" w:cs="Arial"/>
                <w:color w:val="111111"/>
                <w:sz w:val="17"/>
                <w:szCs w:val="17"/>
                <w:b w:val="1"/>
                <w:bCs w:val="1"/>
              </w:rPr>
              <w:t xml:space="preserve">Line Department Meetings - Education</w:t>
            </w:r>
          </w:p>
          <w:p>
            <w:pPr>
              <w:jc w:val="center"/>
              <w:spacing w:after="55"/>
            </w:pPr>
            <w:r>
              <w:rPr>
                <w:rFonts w:ascii="Arial" w:hAnsi="Arial" w:eastAsia="Arial" w:cs="Arial"/>
                <w:color w:val="64748B"/>
                <w:sz w:val="15"/>
                <w:szCs w:val="15"/>
              </w:rPr>
              <w:t xml:space="preserve">— | 17 Aug 2026</w:t>
            </w:r>
          </w:p>
        </w:tc>
      </w:tr>
    </w:tbl>
    <w:p>
      <w:pPr>
        <w:sectPr>
          <w:headerReference w:type="default" r:id="rId27"/>
          <w:footerReference w:type="default" r:id="rId28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p>
      <w:pPr>
        <w:pStyle w:val="Heading1"/>
      </w:pPr>
      <w:bookmarkStart w:id="19" w:name="_Toc19"/>
      <w:r>
        <w:t>6. Report Basis and Data Notes</w:t>
      </w:r>
      <w:bookmarkEnd w:id="19"/>
    </w:p>
    <w:p>
      <w:pPr>
        <w:spacing w:after="8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Reporting period: 01 Aug 2026 to 31 Aug 2026.</w:t>
      </w:r>
    </w:p>
    <w:p>
      <w:pPr>
        <w:spacing w:after="8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Fiscal year: FY 2026-27.</w:t>
      </w:r>
    </w:p>
    <w:p>
      <w:pPr>
        <w:spacing w:after="8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Achievements are generated from approved MIS records and the existing MUY deliverables reporting logic.</w:t>
      </w:r>
    </w:p>
    <w:p>
      <w:pPr>
        <w:spacing w:after="8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Cumulative values cover the start of the fiscal year through the end of the selected month.</w:t>
      </w:r>
    </w:p>
    <w:p>
      <w:pPr>
        <w:spacing w:after="8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Field photographs are selected from Media Gallery records that satisfy the module visibility and approval rules.</w:t>
      </w:r>
    </w:p>
    <w:p>
      <w:pPr>
        <w:spacing w:after="80"/>
        <w:numPr>
          <w:ilvl w:val="0"/>
          <w:numId w:val=""/>
        </w:numPr>
      </w:pPr>
      <w:r>
        <w:rPr>
          <w:color w:val="111111"/>
          <w:sz w:val="20"/>
          <w:szCs w:val="20"/>
        </w:rPr>
        <w:t xml:space="preserve">A zero indicates that no qualifying approved record was found under the applicable MIS logic; it does not replace independent program validation.</w:t>
      </w:r>
    </w:p>
    <w:p>
      <w:pPr>
        <w:spacing w:before="260"/>
      </w:pPr>
      <w:r>
        <w:rPr>
          <w:color w:val="64748B"/>
          <w:sz w:val="18"/>
          <w:szCs w:val="18"/>
          <w:i w:val="1"/>
          <w:iCs w:val="1"/>
        </w:rPr>
        <w:t xml:space="preserve">Report generated on 18 Aug 2026, 12:23 PM.</w:t>
      </w:r>
    </w:p>
    <w:p>
      <w:pPr>
        <w:sectPr>
          <w:headerReference w:type="default" r:id="rId29"/>
          <w:footerReference w:type="default" r:id="rId30"/>
          <w:pgSz w:orient="portrait" w:w="11905.511811023622" w:h="16837.79527559055"/>
          <w:pgMar w:top="822" w:right="879" w:bottom="794" w:left="879" w:header="255" w:footer="255" w:gutter="0"/>
          <w:cols w:num="1" w:space="720"/>
        </w:sectPr>
      </w:pPr>
    </w:p>
    <w:tbl>
      <w:tblGrid>
        <w:gridCol/>
      </w:tblGrid>
      <w:tblPr>
        <w:tblW w:w="5000" w:type="pct"/>
        <w:tblLayout w:type="fixed"/>
        <w:tblCellMar>
          <w:top w:w="300" w:type="dxa"/>
          <w:left w:w="450" w:type="dxa"/>
          <w:right w:w="450" w:type="dxa"/>
          <w:bottom w:w="300" w:type="dxa"/>
        </w:tblCellMar>
        <w:tblBorders>
          <w:top w:val="single" w:sz="1" w:color="D94F70"/>
          <w:left w:val="single" w:sz="1" w:color="D94F70"/>
          <w:right w:val="single" w:sz="1" w:color="D94F70"/>
          <w:bottom w:val="single" w:sz="1" w:color="D94F70"/>
          <w:insideH w:val="single" w:sz="1" w:color="D94F70"/>
          <w:insideV w:val="single" w:sz="1" w:color="D94F70"/>
        </w:tblBorders>
      </w:tblPr>
      <w:tr>
        <w:trPr>
          <w:trHeight w:val="14800" w:hRule="exact"/>
          <w:cantSplit w:val="1"/>
        </w:trPr>
        <w:tc>
          <w:tcPr>
            <w:vAlign w:val="center"/>
            <w:tcBorders>
              <w:top w:val="single" w:sz="1" w:color="D94F70"/>
              <w:left w:val="single" w:sz="1" w:color="D94F70"/>
              <w:right w:val="single" w:sz="1" w:color="D94F70"/>
              <w:bottom w:val="single" w:sz="1" w:color="D94F70"/>
            </w:tcBorders>
            <w:shd w:val="clear" w:fill="D94F70"/>
            <w:noWrap/>
          </w:tcPr>
          <w:p>
            <w:pPr>
              <w:jc w:val="left"/>
              <w:spacing w:after="2100"/>
            </w:pPr>
            <w:r>
              <w:rPr>
                <w:rFonts w:ascii="Georgia" w:hAnsi="Georgia" w:eastAsia="Georgia" w:cs="Georgia"/>
                <w:color w:val="FFFFFF"/>
                <w:sz w:val="86"/>
                <w:szCs w:val="86"/>
                <w:b w:val="1"/>
                <w:bCs w:val="1"/>
              </w:rPr>
              <w:t xml:space="preserve">Thank You</w:t>
            </w:r>
          </w:p>
          <w:p>
            <w:pPr>
              <w:spacing w:after="75"/>
              <w:numPr>
                <w:ilvl w:val="0"/>
                <w:numId w:val=""/>
              </w:numPr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</w:rPr>
              <w:t xml:space="preserve">This report is generated from the MUY MIS for the selected reporting month and is intended for programme review.</w:t>
            </w:r>
          </w:p>
          <w:p>
            <w:pPr>
              <w:spacing w:after="75"/>
              <w:numPr>
                <w:ilvl w:val="0"/>
                <w:numId w:val=""/>
              </w:numPr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</w:rPr>
              <w:t xml:space="preserve">The document should be reviewed by the State Project Management Unit before external circulation.</w:t>
            </w:r>
          </w:p>
          <w:p>
            <w:pPr>
              <w:spacing w:after="75"/>
              <w:numPr>
                <w:ilvl w:val="0"/>
                <w:numId w:val=""/>
              </w:numPr>
            </w:pPr>
            <w:r>
              <w:rPr>
                <w:rFonts w:ascii="Arial" w:hAnsi="Arial" w:eastAsia="Arial" w:cs="Arial"/>
                <w:color w:val="FFFFFF"/>
                <w:sz w:val="17"/>
                <w:szCs w:val="17"/>
              </w:rPr>
              <w:t xml:space="preserve">The report may contain forward-looking actions and operational observations that remain subject to validation.</w:t>
            </w:r>
          </w:p>
        </w:tc>
      </w:tr>
    </w:tbl>
    <w:sectPr>
      <w:headerReference w:type="default" r:id="rId31"/>
      <w:footerReference w:type="default" r:id="rId32"/>
      <w:pgSz w:orient="portrait" w:w="11905.511811023622" w:h="16837.79527559055"/>
      <w:pgMar w:top="369" w:right="369" w:bottom="369" w:left="369" w:header="255" w:footer="255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" w:type="dxa"/>
      <w:gridCol w:w="5500" w:type="dxa"/>
      <w:gridCol w:w="28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9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left"/>
          </w:pPr>
          <w:r>
            <w:fldChar w:fldCharType="begin"/>
          </w:r>
          <w:r>
            <w:rPr>
              <w:rFonts w:ascii="Arial" w:hAnsi="Arial" w:eastAsia="Arial" w:cs="Arial"/>
              <w:color w:val="111111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55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center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1"/>
              <w:bCs w:val="1"/>
            </w:rPr>
            <w:t xml:space="preserve">Monthly Progress Report - August 2026</w:t>
          </w:r>
        </w:p>
      </w:tc>
      <w:tc>
        <w:tcPr>
          <w:tcW w:w="28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0"/>
              <w:bCs w:val="0"/>
            </w:rPr>
            <w:t xml:space="preserve">Private &amp; Confidential</w:t>
          </w:r>
        </w:p>
      </w:tc>
    </w:tr>
  </w:tbl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" w:type="dxa"/>
      <w:gridCol w:w="5500" w:type="dxa"/>
      <w:gridCol w:w="28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9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left"/>
          </w:pPr>
          <w:r>
            <w:fldChar w:fldCharType="begin"/>
          </w:r>
          <w:r>
            <w:rPr>
              <w:rFonts w:ascii="Arial" w:hAnsi="Arial" w:eastAsia="Arial" w:cs="Arial"/>
              <w:color w:val="111111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55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center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1"/>
              <w:bCs w:val="1"/>
            </w:rPr>
            <w:t xml:space="preserve">Monthly Progress Report - August 2026</w:t>
          </w:r>
        </w:p>
      </w:tc>
      <w:tc>
        <w:tcPr>
          <w:tcW w:w="28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0"/>
              <w:bCs w:val="0"/>
            </w:rPr>
            <w:t xml:space="preserve">Private &amp; Confidential</w:t>
          </w:r>
        </w:p>
      </w:tc>
    </w:tr>
  </w:tbl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" w:type="dxa"/>
      <w:gridCol w:w="5500" w:type="dxa"/>
      <w:gridCol w:w="28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9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left"/>
          </w:pPr>
          <w:r>
            <w:fldChar w:fldCharType="begin"/>
          </w:r>
          <w:r>
            <w:rPr>
              <w:rFonts w:ascii="Arial" w:hAnsi="Arial" w:eastAsia="Arial" w:cs="Arial"/>
              <w:color w:val="111111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55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center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1"/>
              <w:bCs w:val="1"/>
            </w:rPr>
            <w:t xml:space="preserve">Monthly Progress Report - August 2026</w:t>
          </w:r>
        </w:p>
      </w:tc>
      <w:tc>
        <w:tcPr>
          <w:tcW w:w="28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0"/>
              <w:bCs w:val="0"/>
            </w:rPr>
            <w:t xml:space="preserve">Private &amp; Confidential</w:t>
          </w:r>
        </w:p>
      </w:tc>
    </w:tr>
  </w:tbl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" w:type="dxa"/>
      <w:gridCol w:w="5500" w:type="dxa"/>
      <w:gridCol w:w="28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9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left"/>
          </w:pPr>
          <w:r>
            <w:fldChar w:fldCharType="begin"/>
          </w:r>
          <w:r>
            <w:rPr>
              <w:rFonts w:ascii="Arial" w:hAnsi="Arial" w:eastAsia="Arial" w:cs="Arial"/>
              <w:color w:val="111111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55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center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1"/>
              <w:bCs w:val="1"/>
            </w:rPr>
            <w:t xml:space="preserve">Monthly Progress Report - August 2026</w:t>
          </w:r>
        </w:p>
      </w:tc>
      <w:tc>
        <w:tcPr>
          <w:tcW w:w="28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0"/>
              <w:bCs w:val="0"/>
            </w:rPr>
            <w:t xml:space="preserve">Private &amp; Confidential</w:t>
          </w:r>
        </w:p>
      </w:tc>
    </w:tr>
  </w:tbl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" w:type="dxa"/>
      <w:gridCol w:w="5500" w:type="dxa"/>
      <w:gridCol w:w="28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9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left"/>
          </w:pPr>
          <w:r>
            <w:fldChar w:fldCharType="begin"/>
          </w:r>
          <w:r>
            <w:rPr>
              <w:rFonts w:ascii="Arial" w:hAnsi="Arial" w:eastAsia="Arial" w:cs="Arial"/>
              <w:color w:val="111111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55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center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1"/>
              <w:bCs w:val="1"/>
            </w:rPr>
            <w:t xml:space="preserve">Monthly Progress Report - August 2026</w:t>
          </w:r>
        </w:p>
      </w:tc>
      <w:tc>
        <w:tcPr>
          <w:tcW w:w="28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0"/>
              <w:bCs w:val="0"/>
            </w:rPr>
            <w:t xml:space="preserve">Private &amp; Confidential</w:t>
          </w:r>
        </w:p>
      </w:tc>
    </w:tr>
  </w:tbl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" w:type="dxa"/>
      <w:gridCol w:w="5500" w:type="dxa"/>
      <w:gridCol w:w="28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9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left"/>
          </w:pPr>
          <w:r>
            <w:fldChar w:fldCharType="begin"/>
          </w:r>
          <w:r>
            <w:rPr>
              <w:rFonts w:ascii="Arial" w:hAnsi="Arial" w:eastAsia="Arial" w:cs="Arial"/>
              <w:color w:val="111111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55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center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1"/>
              <w:bCs w:val="1"/>
            </w:rPr>
            <w:t xml:space="preserve">Monthly Progress Report - August 2026</w:t>
          </w:r>
        </w:p>
      </w:tc>
      <w:tc>
        <w:tcPr>
          <w:tcW w:w="28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0"/>
              <w:bCs w:val="0"/>
            </w:rPr>
            <w:t xml:space="preserve">Private &amp; Confidential</w:t>
          </w:r>
        </w:p>
      </w:tc>
    </w:tr>
  </w:tbl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" w:type="dxa"/>
      <w:gridCol w:w="5500" w:type="dxa"/>
      <w:gridCol w:w="28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9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left"/>
          </w:pPr>
          <w:r>
            <w:fldChar w:fldCharType="begin"/>
          </w:r>
          <w:r>
            <w:rPr>
              <w:rFonts w:ascii="Arial" w:hAnsi="Arial" w:eastAsia="Arial" w:cs="Arial"/>
              <w:color w:val="111111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55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center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1"/>
              <w:bCs w:val="1"/>
            </w:rPr>
            <w:t xml:space="preserve">Monthly Progress Report - August 2026</w:t>
          </w:r>
        </w:p>
      </w:tc>
      <w:tc>
        <w:tcPr>
          <w:tcW w:w="28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0"/>
              <w:bCs w:val="0"/>
            </w:rPr>
            <w:t xml:space="preserve">Private &amp; Confidential</w:t>
          </w:r>
        </w:p>
      </w:tc>
    </w:tr>
  </w:tbl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" w:type="dxa"/>
      <w:gridCol w:w="5500" w:type="dxa"/>
      <w:gridCol w:w="28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9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left"/>
          </w:pPr>
          <w:r>
            <w:fldChar w:fldCharType="begin"/>
          </w:r>
          <w:r>
            <w:rPr>
              <w:rFonts w:ascii="Arial" w:hAnsi="Arial" w:eastAsia="Arial" w:cs="Arial"/>
              <w:color w:val="111111"/>
              <w:sz w:val="15"/>
              <w:szCs w:val="15"/>
            </w:rP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55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center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1"/>
              <w:bCs w:val="1"/>
            </w:rPr>
            <w:t xml:space="preserve">Monthly Progress Report - August 2026</w:t>
          </w:r>
        </w:p>
      </w:tc>
      <w:tc>
        <w:tcPr>
          <w:tcW w:w="2800" w:type="dxa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  <w:spacing w:before="0" w:after="0"/>
          </w:pPr>
          <w:r>
            <w:rPr>
              <w:rFonts w:ascii="Arial" w:hAnsi="Arial" w:eastAsia="Arial" w:cs="Arial"/>
              <w:color w:val="111111"/>
              <w:sz w:val="15"/>
              <w:szCs w:val="15"/>
              <w:b w:val="0"/>
              <w:bCs w:val="0"/>
            </w:rPr>
            <w:t xml:space="preserve">Private &amp; Confidential</w:t>
          </w:r>
        </w:p>
      </w:tc>
    </w:tr>
  </w:tbl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/>
    </w:r>
  </w:p>
</w:ft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80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12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/>
          <w:r>
            <w:rPr>
              <w:rFonts w:ascii="Arial" w:hAnsi="Arial" w:eastAsia="Arial" w:cs="Arial"/>
              <w:color w:val="D04A02"/>
              <w:sz w:val="15"/>
              <w:szCs w:val="15"/>
              <w:b w:val="1"/>
              <w:bCs w:val="1"/>
            </w:rPr>
            <w:t xml:space="preserve">pwc  |  MUY</w:t>
          </w:r>
        </w:p>
      </w:tc>
      <w:tc>
        <w:tcPr>
          <w:tcW w:w="80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</w:pPr>
          <w:r>
            <w:rPr>
              <w:rFonts w:ascii="Arial" w:hAnsi="Arial" w:eastAsia="Arial" w:cs="Arial"/>
              <w:color w:val="111111"/>
              <w:sz w:val="16"/>
              <w:szCs w:val="16"/>
              <w:b w:val="1"/>
              <w:bCs w:val="1"/>
            </w:rPr>
            <w:t xml:space="preserve">Monthly Progress Report - August 2026</w:t>
          </w:r>
        </w:p>
      </w:tc>
    </w:tr>
  </w:tbl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80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12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/>
          <w:r>
            <w:rPr>
              <w:rFonts w:ascii="Arial" w:hAnsi="Arial" w:eastAsia="Arial" w:cs="Arial"/>
              <w:color w:val="D04A02"/>
              <w:sz w:val="15"/>
              <w:szCs w:val="15"/>
              <w:b w:val="1"/>
              <w:bCs w:val="1"/>
            </w:rPr>
            <w:t xml:space="preserve">pwc  |  MUY</w:t>
          </w:r>
        </w:p>
      </w:tc>
      <w:tc>
        <w:tcPr>
          <w:tcW w:w="80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</w:pPr>
          <w:r>
            <w:rPr>
              <w:rFonts w:ascii="Arial" w:hAnsi="Arial" w:eastAsia="Arial" w:cs="Arial"/>
              <w:color w:val="111111"/>
              <w:sz w:val="16"/>
              <w:szCs w:val="16"/>
              <w:b w:val="1"/>
              <w:bCs w:val="1"/>
            </w:rPr>
            <w:t xml:space="preserve">Monthly Progress Report - August 2026</w:t>
          </w:r>
        </w:p>
      </w:tc>
    </w:tr>
  </w:tbl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80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12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/>
          <w:r>
            <w:rPr>
              <w:rFonts w:ascii="Arial" w:hAnsi="Arial" w:eastAsia="Arial" w:cs="Arial"/>
              <w:color w:val="D04A02"/>
              <w:sz w:val="15"/>
              <w:szCs w:val="15"/>
              <w:b w:val="1"/>
              <w:bCs w:val="1"/>
            </w:rPr>
            <w:t xml:space="preserve">pwc  |  MUY</w:t>
          </w:r>
        </w:p>
      </w:tc>
      <w:tc>
        <w:tcPr>
          <w:tcW w:w="80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</w:pPr>
          <w:r>
            <w:rPr>
              <w:rFonts w:ascii="Arial" w:hAnsi="Arial" w:eastAsia="Arial" w:cs="Arial"/>
              <w:color w:val="111111"/>
              <w:sz w:val="16"/>
              <w:szCs w:val="16"/>
              <w:b w:val="1"/>
              <w:bCs w:val="1"/>
            </w:rPr>
            <w:t xml:space="preserve">Monthly Progress Report - August 2026</w:t>
          </w:r>
        </w:p>
      </w:tc>
    </w:tr>
  </w:tbl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80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12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/>
          <w:r>
            <w:rPr>
              <w:rFonts w:ascii="Arial" w:hAnsi="Arial" w:eastAsia="Arial" w:cs="Arial"/>
              <w:color w:val="D04A02"/>
              <w:sz w:val="15"/>
              <w:szCs w:val="15"/>
              <w:b w:val="1"/>
              <w:bCs w:val="1"/>
            </w:rPr>
            <w:t xml:space="preserve">pwc  |  MUY</w:t>
          </w:r>
        </w:p>
      </w:tc>
      <w:tc>
        <w:tcPr>
          <w:tcW w:w="80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</w:pPr>
          <w:r>
            <w:rPr>
              <w:rFonts w:ascii="Arial" w:hAnsi="Arial" w:eastAsia="Arial" w:cs="Arial"/>
              <w:color w:val="111111"/>
              <w:sz w:val="16"/>
              <w:szCs w:val="16"/>
              <w:b w:val="1"/>
              <w:bCs w:val="1"/>
            </w:rPr>
            <w:t xml:space="preserve">Monthly Progress Report - August 2026</w:t>
          </w:r>
        </w:p>
      </w:tc>
    </w:tr>
  </w:tbl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80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12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/>
          <w:r>
            <w:rPr>
              <w:rFonts w:ascii="Arial" w:hAnsi="Arial" w:eastAsia="Arial" w:cs="Arial"/>
              <w:color w:val="D04A02"/>
              <w:sz w:val="15"/>
              <w:szCs w:val="15"/>
              <w:b w:val="1"/>
              <w:bCs w:val="1"/>
            </w:rPr>
            <w:t xml:space="preserve">pwc  |  MUY</w:t>
          </w:r>
        </w:p>
      </w:tc>
      <w:tc>
        <w:tcPr>
          <w:tcW w:w="80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</w:pPr>
          <w:r>
            <w:rPr>
              <w:rFonts w:ascii="Arial" w:hAnsi="Arial" w:eastAsia="Arial" w:cs="Arial"/>
              <w:color w:val="111111"/>
              <w:sz w:val="16"/>
              <w:szCs w:val="16"/>
              <w:b w:val="1"/>
              <w:bCs w:val="1"/>
            </w:rPr>
            <w:t xml:space="preserve">Monthly Progress Report - August 2026</w:t>
          </w:r>
        </w:p>
      </w:tc>
    </w:tr>
  </w:tbl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80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12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/>
          <w:r>
            <w:rPr>
              <w:rFonts w:ascii="Arial" w:hAnsi="Arial" w:eastAsia="Arial" w:cs="Arial"/>
              <w:color w:val="D04A02"/>
              <w:sz w:val="15"/>
              <w:szCs w:val="15"/>
              <w:b w:val="1"/>
              <w:bCs w:val="1"/>
            </w:rPr>
            <w:t xml:space="preserve">pwc  |  MUY</w:t>
          </w:r>
        </w:p>
      </w:tc>
      <w:tc>
        <w:tcPr>
          <w:tcW w:w="80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</w:pPr>
          <w:r>
            <w:rPr>
              <w:rFonts w:ascii="Arial" w:hAnsi="Arial" w:eastAsia="Arial" w:cs="Arial"/>
              <w:color w:val="111111"/>
              <w:sz w:val="16"/>
              <w:szCs w:val="16"/>
              <w:b w:val="1"/>
              <w:bCs w:val="1"/>
            </w:rPr>
            <w:t xml:space="preserve">Monthly Progress Report - August 2026</w:t>
          </w:r>
        </w:p>
      </w:tc>
    </w:tr>
  </w:tbl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80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12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/>
          <w:r>
            <w:rPr>
              <w:rFonts w:ascii="Arial" w:hAnsi="Arial" w:eastAsia="Arial" w:cs="Arial"/>
              <w:color w:val="D04A02"/>
              <w:sz w:val="15"/>
              <w:szCs w:val="15"/>
              <w:b w:val="1"/>
              <w:bCs w:val="1"/>
            </w:rPr>
            <w:t xml:space="preserve">pwc  |  MUY</w:t>
          </w:r>
        </w:p>
      </w:tc>
      <w:tc>
        <w:tcPr>
          <w:tcW w:w="80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</w:pPr>
          <w:r>
            <w:rPr>
              <w:rFonts w:ascii="Arial" w:hAnsi="Arial" w:eastAsia="Arial" w:cs="Arial"/>
              <w:color w:val="111111"/>
              <w:sz w:val="16"/>
              <w:szCs w:val="16"/>
              <w:b w:val="1"/>
              <w:bCs w:val="1"/>
            </w:rPr>
            <w:t xml:space="preserve">Monthly Progress Report - August 2026</w:t>
          </w:r>
        </w:p>
      </w:tc>
    </w:tr>
  </w:tbl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8000" w:type="dxa"/>
    </w:tblGrid>
    <w:tblPr>
      <w:tblW w:w="5000" w:type="pct"/>
      <w:tblLayout w:type="autofit"/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  <w:tr>
      <w:trPr>
        <w:trHeight w:val="300" w:hRule="atLeast"/>
      </w:trPr>
      <w:tc>
        <w:tcPr>
          <w:tcW w:w="12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/>
          <w:r>
            <w:rPr>
              <w:rFonts w:ascii="Arial" w:hAnsi="Arial" w:eastAsia="Arial" w:cs="Arial"/>
              <w:color w:val="D04A02"/>
              <w:sz w:val="15"/>
              <w:szCs w:val="15"/>
              <w:b w:val="1"/>
              <w:bCs w:val="1"/>
            </w:rPr>
            <w:t xml:space="preserve">pwc  |  MUY</w:t>
          </w:r>
        </w:p>
      </w:tc>
      <w:tc>
        <w:tcPr>
          <w:tcW w:w="8000" w:type="dxa"/>
          <w:vAlign w:val="center"/>
          <w:tcBorders>
            <w:top w:val="single" w:sz="1" w:color="FFFFFF"/>
            <w:left w:val="single" w:sz="1" w:color="FFFFFF"/>
            <w:right w:val="single" w:sz="1" w:color="FFFFFF"/>
            <w:bottom w:val="single" w:sz="1" w:color="FFFFFF"/>
          </w:tcBorders>
          <w:noWrap/>
        </w:tcPr>
        <w:p>
          <w:pPr>
            <w:jc w:val="right"/>
          </w:pPr>
          <w:r>
            <w:rPr>
              <w:rFonts w:ascii="Arial" w:hAnsi="Arial" w:eastAsia="Arial" w:cs="Arial"/>
              <w:color w:val="111111"/>
              <w:sz w:val="16"/>
              <w:szCs w:val="16"/>
              <w:b w:val="1"/>
              <w:bCs w:val="1"/>
            </w:rPr>
            <w:t xml:space="preserve">Monthly Progress Report - August 2026</w:t>
          </w:r>
        </w:p>
      </w:tc>
    </w:tr>
  </w:tbl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spacing w:before="0" w:after="160"/>
    </w:pPr>
    <w:rPr>
      <w:rFonts w:ascii="Arial" w:hAnsi="Arial" w:eastAsia="Arial" w:cs="Arial"/>
      <w:color w:val="B53A00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keepNext w:val="1"/>
      <w:spacing w:before="160" w:after="80"/>
    </w:pPr>
    <w:rPr>
      <w:rFonts w:ascii="Arial" w:hAnsi="Arial" w:eastAsia="Arial" w:cs="Arial"/>
      <w:color w:val="B53A00"/>
      <w:sz w:val="25"/>
      <w:szCs w:val="25"/>
      <w:b w:val="1"/>
      <w:bCs w:val="1"/>
    </w:rPr>
  </w:style>
  <w:style w:type="paragraph" w:styleId="Heading3">
    <w:link w:val="Heading3Char"/>
    <w:name w:val="heading 3"/>
    <w:basedOn w:val="Normal"/>
    <w:pPr>
      <w:keepNext w:val="1"/>
      <w:spacing w:before="100" w:after="60"/>
    </w:pPr>
    <w:rPr>
      <w:rFonts w:ascii="Arial" w:hAnsi="Arial" w:eastAsia="Arial" w:cs="Arial"/>
      <w:color w:val="111111"/>
      <w:sz w:val="21"/>
      <w:szCs w:val="21"/>
      <w:b w:val="1"/>
      <w:bCs w:val="1"/>
    </w:rPr>
  </w:style>
  <w:style w:type="table" w:customStyle="1" w:styleId="MprTable">
    <w:name w:val="MprTable"/>
    <w:uiPriority w:val="99"/>
    <w:tblPr>
      <w:tblW w:w="5000" w:type="pct"/>
      <w:tblLayout w:type="fixed"/>
      <w:tblCellMar>
        <w:top w:w="60" w:type="dxa"/>
        <w:left w:w="70" w:type="dxa"/>
        <w:right w:w="70" w:type="dxa"/>
        <w:bottom w:w="60" w:type="dxa"/>
      </w:tblCellMar>
      <w:tblBorders>
        <w:top w:val="single" w:sz="4" w:color="F09A78"/>
        <w:left w:val="single" w:sz="4" w:color="F09A78"/>
        <w:right w:val="single" w:sz="4" w:color="F09A78"/>
        <w:bottom w:val="single" w:sz="4" w:color="F09A78"/>
        <w:insideH w:val="single" w:sz="4" w:color="F09A78"/>
        <w:insideV w:val="single" w:sz="4" w:color="F09A78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Relationship Id="rId11" Type="http://schemas.openxmlformats.org/officeDocument/2006/relationships/image" Target="media/section_image5.jpg"/><Relationship Id="rId12" Type="http://schemas.openxmlformats.org/officeDocument/2006/relationships/image" Target="media/section_image6.jpg"/><Relationship Id="rId13" Type="http://schemas.openxmlformats.org/officeDocument/2006/relationships/image" Target="media/section_image7.jpg"/><Relationship Id="rId14" Type="http://schemas.openxmlformats.org/officeDocument/2006/relationships/image" Target="media/section_image8.jpg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10.xml"/><Relationship Id="rId20" Type="http://schemas.openxmlformats.org/officeDocument/2006/relationships/footer" Target="footer10.xml"/><Relationship Id="rId21" Type="http://schemas.openxmlformats.org/officeDocument/2006/relationships/header" Target="header13.xml"/><Relationship Id="rId22" Type="http://schemas.openxmlformats.org/officeDocument/2006/relationships/footer" Target="footer13.xml"/><Relationship Id="rId23" Type="http://schemas.openxmlformats.org/officeDocument/2006/relationships/header" Target="header16.xml"/><Relationship Id="rId24" Type="http://schemas.openxmlformats.org/officeDocument/2006/relationships/footer" Target="footer16.xml"/><Relationship Id="rId25" Type="http://schemas.openxmlformats.org/officeDocument/2006/relationships/header" Target="header19.xml"/><Relationship Id="rId26" Type="http://schemas.openxmlformats.org/officeDocument/2006/relationships/footer" Target="footer19.xml"/><Relationship Id="rId27" Type="http://schemas.openxmlformats.org/officeDocument/2006/relationships/header" Target="header22.xml"/><Relationship Id="rId28" Type="http://schemas.openxmlformats.org/officeDocument/2006/relationships/footer" Target="footer22.xml"/><Relationship Id="rId29" Type="http://schemas.openxmlformats.org/officeDocument/2006/relationships/header" Target="header25.xml"/><Relationship Id="rId30" Type="http://schemas.openxmlformats.org/officeDocument/2006/relationships/footer" Target="footer25.xml"/><Relationship Id="rId31" Type="http://schemas.openxmlformats.org/officeDocument/2006/relationships/header" Target="header28.xml"/><Relationship Id="rId32" Type="http://schemas.openxmlformats.org/officeDocument/2006/relationships/footer" Target="footer2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Mukhyamantri Udyamshala Yojana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Mukhyamantri Udyamshala Yojana</dc:creator>
  <dc:title>Monthly Progress Report - August 2026</dc:title>
  <dc:description/>
  <dc:subject>Automatically generated MIS progress report</dc:subject>
  <cp:keywords/>
  <cp:category/>
  <cp:lastModifiedBy/>
  <dcterms:created xsi:type="dcterms:W3CDTF">2026-08-18T12:23:40+05:30</dcterms:created>
  <dcterms:modified xsi:type="dcterms:W3CDTF">2026-08-18T12:23:40+05:30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