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33.png" ContentType="image/png"/>
  <Override PartName="/word/media/rId29.png" ContentType="image/png"/>
  <Override PartName="/word/media/rId25.png" ContentType="image/png"/>
  <Override PartName="/word/media/rId39.png" ContentType="image/png"/>
  <Override PartName="/word/media/rId48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Xb35533633a55fe510795e84c971c5bfac3d0ff2"/>
    <w:p>
      <w:pPr>
        <w:pStyle w:val="Heading1"/>
      </w:pPr>
      <w:r>
        <w:t xml:space="preserve">Multi-Modal Deep Learning for Parkinson’s Tremor Classification</w:t>
      </w:r>
    </w:p>
    <w:p>
      <w:pPr>
        <w:pStyle w:val="FirstParagraph"/>
      </w:pPr>
      <w:r>
        <w:t xml:space="preserve">Members: Akash Das (A-08), Devanshu Barapatre (A-19), Abhishek Falke (A-03)</w:t>
      </w:r>
    </w:p>
    <w:p>
      <w:r>
        <w:pict>
          <v:rect style="width:0;height:1.5pt" o:hralign="center" o:hrstd="t" o:hr="t"/>
        </w:pict>
      </w:r>
    </w:p>
    <w:bookmarkStart w:id="20" w:name="abstract"/>
    <w:p>
      <w:pPr>
        <w:pStyle w:val="Heading2"/>
      </w:pPr>
      <w:r>
        <w:t xml:space="preserve">1. Abstract</w:t>
      </w:r>
    </w:p>
    <w:p>
      <w:pPr>
        <w:pStyle w:val="FirstParagraph"/>
      </w:pPr>
      <w:r>
        <w:t xml:space="preserve">This paper details a robust framework for the automated classification of hand tremors in Parkinson’s Disease (PD). The system utilizes a Triple Input Neural Network (TINN) architecture that integrates temporal motion landmarks, clinical metadata, and high-dimensional engineered signal features. By processing a diverse dataset of over 8,000 tremor observations derived from the PADS study [1], the model achieves a classification accuracy of</w:t>
      </w:r>
      <w:r>
        <w:t xml:space="preserve"> </w:t>
      </w:r>
      <w:r>
        <w:rPr>
          <w:bCs/>
          <w:b/>
        </w:rPr>
        <w:t xml:space="preserve">97.5%</w:t>
      </w:r>
      <w:r>
        <w:t xml:space="preserve">. This research demonstrates the efficacy of fusing heterogeneous data sources to provide a highly accurate, objective tool for neurological assessment.</w:t>
      </w:r>
    </w:p>
    <w:bookmarkEnd w:id="20"/>
    <w:bookmarkStart w:id="21" w:name="introduction"/>
    <w:p>
      <w:pPr>
        <w:pStyle w:val="Heading2"/>
      </w:pPr>
      <w:r>
        <w:t xml:space="preserve">2. Introduction</w:t>
      </w:r>
    </w:p>
    <w:p>
      <w:pPr>
        <w:pStyle w:val="FirstParagraph"/>
      </w:pPr>
      <w:r>
        <w:t xml:space="preserve">Tremor is one of the most debilitating motor symptoms of Parkinson’s Disease. Precise classification of tremor types (e.g., resting, postural, kinetic) is essential for effective treatment planning and medication adjustment [2]. Current clinical methods rely on periodic observations and subjective rating scales. Our approach provides an objective, data-driven alternative by analyzing 3D motion sequences through a specialized multi-branch deep learning model.</w:t>
      </w:r>
    </w:p>
    <w:bookmarkEnd w:id="21"/>
    <w:bookmarkStart w:id="37" w:name="dataset-characteristics"/>
    <w:p>
      <w:pPr>
        <w:pStyle w:val="Heading2"/>
      </w:pPr>
      <w:r>
        <w:t xml:space="preserve">3. Dataset Characteristics</w:t>
      </w:r>
    </w:p>
    <w:p>
      <w:pPr>
        <w:pStyle w:val="FirstParagraph"/>
      </w:pPr>
      <w:r>
        <w:t xml:space="preserve">The project utilizes a comprehensive dataset that captures the complexity of Parkinsonian tremors across various exercises. This research primarily leverages the Parkinson’s Disease Smartwatch (PADS) dataset [1], [3] sourced from the PhysioNet repository [4].</w:t>
      </w:r>
    </w:p>
    <w:bookmarkStart w:id="28" w:name="demographic-distribution"/>
    <w:p>
      <w:pPr>
        <w:pStyle w:val="Heading3"/>
      </w:pPr>
      <w:r>
        <w:t xml:space="preserve">3.1. Demographic Distribution</w:t>
      </w:r>
    </w:p>
    <w:p>
      <w:pPr>
        <w:pStyle w:val="FirstParagraph"/>
      </w:pPr>
      <w:r>
        <w:t xml:space="preserve">The dataset encompasses a broad demographic range, ensuring the model’s generalizability across different patient populations.</w:t>
      </w:r>
    </w:p>
    <w:p>
      <w:pPr>
        <w:pStyle w:val="BodyText"/>
      </w:pPr>
      <w:r>
        <w:drawing>
          <wp:inline>
            <wp:extent cx="5334000" cy="3200400"/>
            <wp:effectExtent b="0" l="0" r="0" t="0"/>
            <wp:docPr descr="Age Distribution" title="" id="23" name="Picture"/>
            <a:graphic>
              <a:graphicData uri="http://schemas.openxmlformats.org/drawingml/2006/picture">
                <pic:pic>
                  <pic:nvPicPr>
                    <pic:cNvPr descr="visualizations_final/dataset_age_distribution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Figure 1: Age distribution of patients in the dataset.</w:t>
      </w:r>
    </w:p>
    <w:p>
      <w:pPr>
        <w:pStyle w:val="BodyText"/>
      </w:pPr>
      <w:r>
        <w:drawing>
          <wp:inline>
            <wp:extent cx="5334000" cy="4000499"/>
            <wp:effectExtent b="0" l="0" r="0" t="0"/>
            <wp:docPr descr="Gender Distribution" title="" id="26" name="Picture"/>
            <a:graphic>
              <a:graphicData uri="http://schemas.openxmlformats.org/drawingml/2006/picture">
                <pic:pic>
                  <pic:nvPicPr>
                    <pic:cNvPr descr="visualizations_final/dataset_gender_distribution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Figure 2: Gender distribution of participants.</w:t>
      </w:r>
    </w:p>
    <w:bookmarkEnd w:id="28"/>
    <w:bookmarkStart w:id="32" w:name="clinical-context"/>
    <w:p>
      <w:pPr>
        <w:pStyle w:val="Heading3"/>
      </w:pPr>
      <w:r>
        <w:t xml:space="preserve">3.2. Clinical Context</w:t>
      </w:r>
    </w:p>
    <w:p>
      <w:pPr>
        <w:pStyle w:val="FirstParagraph"/>
      </w:pPr>
      <w:r>
        <w:t xml:space="preserve">A critical component of the system is the integration of clinical context, including Deep Brain Stimulation (DBS) status and physician-assigned severity scores.</w:t>
      </w:r>
    </w:p>
    <w:p>
      <w:pPr>
        <w:pStyle w:val="BodyText"/>
      </w:pPr>
      <w:r>
        <w:drawing>
          <wp:inline>
            <wp:extent cx="5334000" cy="4000499"/>
            <wp:effectExtent b="0" l="0" r="0" t="0"/>
            <wp:docPr descr="DBS Status" title="" id="30" name="Picture"/>
            <a:graphic>
              <a:graphicData uri="http://schemas.openxmlformats.org/drawingml/2006/picture">
                <pic:pic>
                  <pic:nvPicPr>
                    <pic:cNvPr descr="visualizations_final/dataset_dbs_status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Figure 3: Distribution of neurostimulator (DBS) status during recordings.</w:t>
      </w:r>
    </w:p>
    <w:bookmarkEnd w:id="32"/>
    <w:bookmarkStart w:id="36" w:name="exercise-classes"/>
    <w:p>
      <w:pPr>
        <w:pStyle w:val="Heading3"/>
      </w:pPr>
      <w:r>
        <w:t xml:space="preserve">3.3. Exercise Classes</w:t>
      </w:r>
    </w:p>
    <w:p>
      <w:pPr>
        <w:pStyle w:val="FirstParagraph"/>
      </w:pPr>
      <w:r>
        <w:t xml:space="preserve">The model classifies tremor across five distinct motor tasks: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Finger Tapping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Fist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Kinetic Tremor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Postural Tremor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Pronation and Supination of the Hand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Class Distribution" title="" id="34" name="Picture"/>
            <a:graphic>
              <a:graphicData uri="http://schemas.openxmlformats.org/drawingml/2006/picture">
                <pic:pic>
                  <pic:nvPicPr>
                    <pic:cNvPr descr="visualizations_final/dataset_class_distribution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Figure 4: Distribution of tremor exercise categories.</w:t>
      </w:r>
    </w:p>
    <w:bookmarkEnd w:id="36"/>
    <w:bookmarkEnd w:id="37"/>
    <w:bookmarkStart w:id="43" w:name="methodology"/>
    <w:p>
      <w:pPr>
        <w:pStyle w:val="Heading2"/>
      </w:pPr>
      <w:r>
        <w:t xml:space="preserve">4. Methodology</w:t>
      </w:r>
    </w:p>
    <w:bookmarkStart w:id="38" w:name="triple-input-neural-network"/>
    <w:p>
      <w:pPr>
        <w:pStyle w:val="Heading3"/>
      </w:pPr>
      <w:r>
        <w:t xml:space="preserve">4.1. Triple Input Neural Network</w:t>
      </w:r>
    </w:p>
    <w:p>
      <w:pPr>
        <w:pStyle w:val="FirstParagraph"/>
      </w:pPr>
      <w:r>
        <w:t xml:space="preserve">The system employs a multi-modal fusion strategy: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Temporal Branch (1D-CNN):</w:t>
      </w:r>
      <w:r>
        <w:t xml:space="preserve"> </w:t>
      </w:r>
      <w:r>
        <w:t xml:space="preserve">Processes 100-frame sequences of 3D motion landmarks extracted using the MediaPipe framework [5] to capture the rhythmic nature of tremors.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Contextual Branch (Dense):</w:t>
      </w:r>
      <w:r>
        <w:t xml:space="preserve"> </w:t>
      </w:r>
      <w:r>
        <w:t xml:space="preserve">Integrates patient age, gender, and neurostimulator status.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Statistical Branch (Dense):</w:t>
      </w:r>
      <w:r>
        <w:t xml:space="preserve"> </w:t>
      </w:r>
      <w:r>
        <w:t xml:space="preserve">Processes 92 engineered features (Mean, Variance, FFT-based spectral peaks, entropy) extracted from the motion signals.</w:t>
      </w:r>
    </w:p>
    <w:bookmarkEnd w:id="38"/>
    <w:bookmarkStart w:id="42" w:name="feature-engineering"/>
    <w:p>
      <w:pPr>
        <w:pStyle w:val="Heading3"/>
      </w:pPr>
      <w:r>
        <w:t xml:space="preserve">4.2. Feature Engineering</w:t>
      </w:r>
    </w:p>
    <w:p>
      <w:pPr>
        <w:pStyle w:val="FirstParagraph"/>
      </w:pPr>
      <w:r>
        <w:t xml:space="preserve">Spectral analysis of the motion signals reveals distinct patterns that help the model distinguish between similar-looking tremors.</w:t>
      </w:r>
    </w:p>
    <w:p>
      <w:pPr>
        <w:pStyle w:val="BodyText"/>
      </w:pPr>
      <w:r>
        <w:drawing>
          <wp:inline>
            <wp:extent cx="5334000" cy="4445000"/>
            <wp:effectExtent b="0" l="0" r="0" t="0"/>
            <wp:docPr descr="Feature Correlation" title="" id="40" name="Picture"/>
            <a:graphic>
              <a:graphicData uri="http://schemas.openxmlformats.org/drawingml/2006/picture">
                <pic:pic>
                  <pic:nvPicPr>
                    <pic:cNvPr descr="visualizations_final/feature_correlation_matrix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Figure 5: Correlation matrix of top-performing engineered signal features.</w:t>
      </w:r>
    </w:p>
    <w:bookmarkEnd w:id="42"/>
    <w:bookmarkEnd w:id="43"/>
    <w:bookmarkStart w:id="52" w:name="results-and-evaluation"/>
    <w:p>
      <w:pPr>
        <w:pStyle w:val="Heading2"/>
      </w:pPr>
      <w:r>
        <w:t xml:space="preserve">5. Results and Evaluation</w:t>
      </w:r>
    </w:p>
    <w:bookmarkStart w:id="44" w:name="performance-benchmarks"/>
    <w:p>
      <w:pPr>
        <w:pStyle w:val="Heading3"/>
      </w:pPr>
      <w:r>
        <w:t xml:space="preserve">5.1. Performance Benchmarks</w:t>
      </w:r>
    </w:p>
    <w:p>
      <w:pPr>
        <w:pStyle w:val="FirstParagraph"/>
      </w:pPr>
      <w:r>
        <w:t xml:space="preserve">The TINN model achieved an overall accuracy of</w:t>
      </w:r>
      <w:r>
        <w:t xml:space="preserve"> </w:t>
      </w:r>
      <w:r>
        <w:rPr>
          <w:bCs/>
          <w:b/>
        </w:rPr>
        <w:t xml:space="preserve">97.5%</w:t>
      </w:r>
      <w:r>
        <w:t xml:space="preserve"> </w:t>
      </w:r>
      <w:r>
        <w:t xml:space="preserve">on the held-out test set.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Tremor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Precision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Recall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F1-Score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Finger tapping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Kinetic tremor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Postural tremor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Pronation/Supination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Average / Total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0.98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0.98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0.98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2085</w:t>
            </w:r>
          </w:p>
        </w:tc>
      </w:tr>
    </w:tbl>
    <w:bookmarkEnd w:id="44"/>
    <w:bookmarkStart w:id="51" w:name="metrics-visualization"/>
    <w:p>
      <w:pPr>
        <w:pStyle w:val="Heading3"/>
      </w:pPr>
      <w:r>
        <w:t xml:space="preserve">5.2. Metrics Visualization</w:t>
      </w:r>
    </w:p>
    <w:p>
      <w:pPr>
        <w:pStyle w:val="FirstParagraph"/>
      </w:pPr>
      <w:r>
        <w:t xml:space="preserve">The model maintains high precision and recall across classes, particularly excelling in the complex pronation/supination task.</w:t>
      </w:r>
    </w:p>
    <w:p>
      <w:pPr>
        <w:pStyle w:val="BodyText"/>
      </w:pPr>
      <w:r>
        <w:drawing>
          <wp:inline>
            <wp:extent cx="5334000" cy="3048000"/>
            <wp:effectExtent b="0" l="0" r="0" t="0"/>
            <wp:docPr descr="Performance Metrics" title="" id="46" name="Picture"/>
            <a:graphic>
              <a:graphicData uri="http://schemas.openxmlformats.org/drawingml/2006/picture">
                <pic:pic>
                  <pic:nvPicPr>
                    <pic:cNvPr descr="visualizations_final/model_performance_metrics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Figure 6: Precision, Recall, and F1-Score across all tremor classes.</w:t>
      </w:r>
    </w:p>
    <w:p>
      <w:pPr>
        <w:pStyle w:val="BodyText"/>
      </w:pPr>
      <w:r>
        <w:drawing>
          <wp:inline>
            <wp:extent cx="5334000" cy="4445000"/>
            <wp:effectExtent b="0" l="0" r="0" t="0"/>
            <wp:docPr descr="Confusion Matrix" title="" id="49" name="Picture"/>
            <a:graphic>
              <a:graphicData uri="http://schemas.openxmlformats.org/drawingml/2006/picture">
                <pic:pic>
                  <pic:nvPicPr>
                    <pic:cNvPr descr="visualizations_final/model_confusion_matrix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Figure 7: Confusion Matrix showing accurate classification with minimal inter-class overlap.</w:t>
      </w:r>
    </w:p>
    <w:bookmarkEnd w:id="51"/>
    <w:bookmarkEnd w:id="52"/>
    <w:bookmarkStart w:id="53" w:name="conclusion"/>
    <w:p>
      <w:pPr>
        <w:pStyle w:val="Heading2"/>
      </w:pPr>
      <w:r>
        <w:t xml:space="preserve">6. Conclusion</w:t>
      </w:r>
    </w:p>
    <w:p>
      <w:pPr>
        <w:pStyle w:val="FirstParagraph"/>
      </w:pPr>
      <w:r>
        <w:t xml:space="preserve">This research presents a highly accurate system for Parkinson’s tremor analysis. The Triple Input architecture effectively combines raw motion data with clinical metadata and statistical signal abstractions. The achieved accuracy of</w:t>
      </w:r>
      <w:r>
        <w:t xml:space="preserve"> </w:t>
      </w:r>
      <w:r>
        <w:rPr>
          <w:bCs/>
          <w:b/>
        </w:rPr>
        <w:t xml:space="preserve">97.5%</w:t>
      </w:r>
      <w:r>
        <w:t xml:space="preserve"> </w:t>
      </w:r>
      <w:r>
        <w:t xml:space="preserve">demonstrates that multi-modal deep learning is a powerful tool for developing objective clinical diagnostic systems for movement disorders.</w:t>
      </w:r>
    </w:p>
    <w:bookmarkEnd w:id="53"/>
    <w:bookmarkStart w:id="54" w:name="references"/>
    <w:p>
      <w:pPr>
        <w:pStyle w:val="Heading2"/>
      </w:pPr>
      <w:r>
        <w:t xml:space="preserve">7. References</w:t>
      </w:r>
    </w:p>
    <w:p>
      <w:pPr>
        <w:numPr>
          <w:ilvl w:val="0"/>
          <w:numId w:val="1003"/>
        </w:numPr>
        <w:pStyle w:val="Compact"/>
      </w:pPr>
      <w:r>
        <w:t xml:space="preserve">Varghese, J., Brenner, A., Fujarski, M., van Alen, C. M., Plagwitz, L., &amp; Warnecke, T. (2024). Machine learning in the Parkinson’s disease smartwatch (PADS) dataset.</w:t>
      </w:r>
      <w:r>
        <w:t xml:space="preserve"> </w:t>
      </w:r>
      <w:r>
        <w:rPr>
          <w:iCs/>
          <w:i/>
        </w:rPr>
        <w:t xml:space="preserve">npj Parkinson’s Disease</w:t>
      </w:r>
      <w:r>
        <w:t xml:space="preserve">, 10(1), 9.</w:t>
      </w:r>
    </w:p>
    <w:p>
      <w:pPr>
        <w:numPr>
          <w:ilvl w:val="0"/>
          <w:numId w:val="1003"/>
        </w:numPr>
        <w:pStyle w:val="Compact"/>
      </w:pPr>
      <w:r>
        <w:t xml:space="preserve">Schwingenschuh, P., et al. (2010). The clinical classification of tremor.</w:t>
      </w:r>
      <w:r>
        <w:t xml:space="preserve"> </w:t>
      </w:r>
      <w:r>
        <w:rPr>
          <w:iCs/>
          <w:i/>
        </w:rPr>
        <w:t xml:space="preserve">Journal of Neurology, Neurosurgery &amp; Psychiatry</w:t>
      </w:r>
      <w:r>
        <w:t xml:space="preserve">, 81(11).</w:t>
      </w:r>
    </w:p>
    <w:p>
      <w:pPr>
        <w:numPr>
          <w:ilvl w:val="0"/>
          <w:numId w:val="1003"/>
        </w:numPr>
        <w:pStyle w:val="Compact"/>
      </w:pPr>
      <w:r>
        <w:t xml:space="preserve">Varghese, J., Brenner, A., Fujarski, M., van Alen, C. M., Plagwitz, L., &amp; Warnecke, T. (2024). PADS - Parkinsons Disease Smartwatch dataset (version 1.0.0).</w:t>
      </w:r>
      <w:r>
        <w:t xml:space="preserve"> </w:t>
      </w:r>
      <w:r>
        <w:rPr>
          <w:iCs/>
          <w:i/>
        </w:rPr>
        <w:t xml:space="preserve">PhysioNet</w:t>
      </w:r>
      <w:r>
        <w:t xml:space="preserve">. https://doi.org/10.13026/56p0-6v44.</w:t>
      </w:r>
    </w:p>
    <w:p>
      <w:pPr>
        <w:numPr>
          <w:ilvl w:val="0"/>
          <w:numId w:val="1003"/>
        </w:numPr>
        <w:pStyle w:val="Compact"/>
      </w:pPr>
      <w:r>
        <w:t xml:space="preserve">Goldberger, A. L., Amaral, L. A., Glass, L., Hausdorff, J. M., Ivanov, P. C., Mark, R. G., … &amp; Stanley, H. E. (2000). PhysioBank, PhysioToolkit, and PhysioNet: components of a new research resource for complex physiologic signals.</w:t>
      </w:r>
      <w:r>
        <w:t xml:space="preserve"> </w:t>
      </w:r>
      <w:r>
        <w:rPr>
          <w:iCs/>
          <w:i/>
        </w:rPr>
        <w:t xml:space="preserve">Circulation</w:t>
      </w:r>
      <w:r>
        <w:t xml:space="preserve">, 101(23), e215-e220.</w:t>
      </w:r>
    </w:p>
    <w:p>
      <w:pPr>
        <w:numPr>
          <w:ilvl w:val="0"/>
          <w:numId w:val="1003"/>
        </w:numPr>
        <w:pStyle w:val="Compact"/>
      </w:pPr>
      <w:r>
        <w:t xml:space="preserve">Lugaresi, C., Tang, J., Nash, H., McClanahan, C., Uboweja, E., Hays, M., … &amp; Grundmann, M. (2019). Mediapipe: A framework for building perception pipelines.</w:t>
      </w:r>
      <w:r>
        <w:t xml:space="preserve"> </w:t>
      </w:r>
      <w:r>
        <w:rPr>
          <w:iCs/>
          <w:i/>
        </w:rPr>
        <w:t xml:space="preserve">arXiv preprint arXiv:1906.08172</w:t>
      </w:r>
      <w:r>
        <w:t xml:space="preserve">.</w:t>
      </w:r>
    </w:p>
    <w:bookmarkEnd w:id="54"/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33" Target="media/rId33.png" /><Relationship Type="http://schemas.openxmlformats.org/officeDocument/2006/relationships/image" Id="rId29" Target="media/rId29.png" /><Relationship Type="http://schemas.openxmlformats.org/officeDocument/2006/relationships/image" Id="rId25" Target="media/rId25.png" /><Relationship Type="http://schemas.openxmlformats.org/officeDocument/2006/relationships/image" Id="rId39" Target="media/rId39.png" /><Relationship Type="http://schemas.openxmlformats.org/officeDocument/2006/relationships/image" Id="rId48" Target="media/rId48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2026-04-15T02:25:36Z</dcterms:created>
  <dcterms:modified xsi:type="dcterms:W3CDTF">2026-04-15T02:25:36Z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